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hAnsi="Calibri"/>
          <w:color w:val="auto"/>
          <w:sz w:val="40"/>
          <w:szCs w:val="21"/>
          <w:lang w:val="en-US" w:eastAsia="zh-CN"/>
        </w:rPr>
      </w:pPr>
      <w:bookmarkStart w:id="0" w:name="br1"/>
      <w:bookmarkEnd w:id="0"/>
      <w:r>
        <w:rPr>
          <w:rFonts w:ascii="微软雅黑" w:hAnsi="微软雅黑" w:cs="微软雅黑"/>
          <w:color w:val="auto"/>
          <w:sz w:val="40"/>
          <w:szCs w:val="21"/>
          <w:highlight w:val="none"/>
          <w:lang w:eastAsia="zh-CN"/>
        </w:rPr>
        <w:t>武汉科技大学</w:t>
      </w:r>
      <w:r>
        <w:rPr>
          <w:rFonts w:hint="eastAsia" w:ascii="微软雅黑" w:hAnsi="微软雅黑" w:cs="微软雅黑"/>
          <w:color w:val="auto"/>
          <w:sz w:val="40"/>
          <w:szCs w:val="21"/>
          <w:highlight w:val="none"/>
          <w:lang w:val="en-US" w:eastAsia="zh-CN"/>
        </w:rPr>
        <w:t>生命科学与健康学院</w:t>
      </w:r>
    </w:p>
    <w:p>
      <w:pPr>
        <w:spacing w:line="590" w:lineRule="exact"/>
        <w:jc w:val="center"/>
        <w:rPr>
          <w:rFonts w:ascii="微软雅黑" w:hAnsi="微软雅黑" w:cs="微软雅黑"/>
          <w:color w:val="auto"/>
          <w:sz w:val="40"/>
          <w:szCs w:val="21"/>
          <w:highlight w:val="none"/>
          <w:lang w:eastAsia="zh-CN"/>
        </w:rPr>
      </w:pPr>
      <w:r>
        <w:rPr>
          <w:rFonts w:ascii="微软雅黑" w:hAnsi="微软雅黑" w:cs="微软雅黑"/>
          <w:color w:val="auto"/>
          <w:sz w:val="40"/>
          <w:szCs w:val="21"/>
          <w:highlight w:val="none"/>
          <w:lang w:eastAsia="zh-CN"/>
        </w:rPr>
        <w:t>研究生</w:t>
      </w:r>
      <w:r>
        <w:rPr>
          <w:rFonts w:hint="eastAsia" w:ascii="微软雅黑" w:hAnsi="微软雅黑" w:cs="微软雅黑"/>
          <w:color w:val="auto"/>
          <w:sz w:val="40"/>
          <w:szCs w:val="21"/>
          <w:highlight w:val="none"/>
          <w:lang w:eastAsia="zh-CN"/>
        </w:rPr>
        <w:t>学业奖</w:t>
      </w:r>
      <w:r>
        <w:rPr>
          <w:rFonts w:ascii="微软雅黑" w:hAnsi="微软雅黑" w:cs="微软雅黑"/>
          <w:color w:val="auto"/>
          <w:sz w:val="40"/>
          <w:szCs w:val="21"/>
          <w:highlight w:val="none"/>
          <w:lang w:eastAsia="zh-CN"/>
        </w:rPr>
        <w:t>学金评审实施细则</w:t>
      </w:r>
    </w:p>
    <w:p>
      <w:pPr>
        <w:spacing w:line="590" w:lineRule="exact"/>
        <w:jc w:val="center"/>
        <w:rPr>
          <w:rFonts w:ascii="微软雅黑" w:hAnsi="微软雅黑" w:cs="微软雅黑"/>
          <w:color w:val="auto"/>
          <w:sz w:val="28"/>
          <w:szCs w:val="28"/>
          <w:highlight w:val="none"/>
          <w:lang w:eastAsia="zh-CN"/>
        </w:rPr>
      </w:pPr>
      <w:r>
        <w:rPr>
          <w:rFonts w:ascii="微软雅黑" w:hAnsi="微软雅黑" w:cs="微软雅黑"/>
          <w:color w:val="auto"/>
          <w:sz w:val="28"/>
          <w:szCs w:val="28"/>
          <w:highlight w:val="none"/>
          <w:lang w:eastAsia="zh-CN"/>
        </w:rPr>
        <w:t>(20</w:t>
      </w:r>
      <w:r>
        <w:rPr>
          <w:rFonts w:hint="eastAsia" w:ascii="微软雅黑" w:hAnsi="微软雅黑" w:cs="微软雅黑"/>
          <w:color w:val="auto"/>
          <w:sz w:val="28"/>
          <w:szCs w:val="28"/>
          <w:highlight w:val="none"/>
          <w:lang w:eastAsia="zh-CN"/>
        </w:rPr>
        <w:t>2</w:t>
      </w:r>
      <w:r>
        <w:rPr>
          <w:rFonts w:hint="eastAsia" w:ascii="微软雅黑" w:hAnsi="微软雅黑" w:cs="微软雅黑"/>
          <w:color w:val="auto"/>
          <w:sz w:val="28"/>
          <w:szCs w:val="28"/>
          <w:highlight w:val="none"/>
          <w:lang w:val="en-US" w:eastAsia="zh-CN"/>
        </w:rPr>
        <w:t>2级及以前年级研究生试行</w:t>
      </w:r>
      <w:r>
        <w:rPr>
          <w:rFonts w:ascii="微软雅黑" w:hAnsi="微软雅黑" w:cs="微软雅黑"/>
          <w:color w:val="auto"/>
          <w:sz w:val="28"/>
          <w:szCs w:val="28"/>
          <w:highlight w:val="none"/>
          <w:lang w:eastAsia="zh-CN"/>
        </w:rPr>
        <w:t>版)</w:t>
      </w:r>
    </w:p>
    <w:p>
      <w:pPr>
        <w:spacing w:before="444" w:after="240" w:afterLines="100"/>
        <w:jc w:val="center"/>
        <w:rPr>
          <w:rFonts w:hint="eastAsia" w:ascii="黑体" w:hAnsi="黑体" w:eastAsia="黑体" w:cs="黑体"/>
          <w:color w:val="auto"/>
          <w:sz w:val="30"/>
          <w:szCs w:val="22"/>
          <w:lang w:eastAsia="zh-CN"/>
        </w:rPr>
      </w:pPr>
      <w:r>
        <w:rPr>
          <w:rFonts w:hint="eastAsia" w:ascii="黑体" w:hAnsi="黑体" w:eastAsia="黑体" w:cs="黑体"/>
          <w:color w:val="auto"/>
          <w:sz w:val="30"/>
          <w:szCs w:val="22"/>
          <w:lang w:eastAsia="zh-CN"/>
        </w:rPr>
        <w:t>第一章 总则</w:t>
      </w:r>
    </w:p>
    <w:p>
      <w:pPr>
        <w:keepNext w:val="0"/>
        <w:keepLines w:val="0"/>
        <w:pageBreakBefore w:val="0"/>
        <w:widowControl/>
        <w:kinsoku/>
        <w:wordWrap/>
        <w:overflowPunct/>
        <w:topLinePunct w:val="0"/>
        <w:autoSpaceDE/>
        <w:autoSpaceDN/>
        <w:bidi w:val="0"/>
        <w:adjustRightInd/>
        <w:snapToGrid/>
        <w:spacing w:before="44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第一条</w:t>
      </w:r>
      <w:r>
        <w:rPr>
          <w:rFonts w:hint="eastAsia" w:ascii="仿宋" w:hAnsi="仿宋" w:eastAsia="仿宋" w:cs="仿宋"/>
          <w:color w:val="auto"/>
          <w:spacing w:val="-5"/>
          <w:sz w:val="28"/>
          <w:szCs w:val="28"/>
          <w:lang w:eastAsia="zh-CN"/>
        </w:rPr>
        <w:t xml:space="preserve"> 为深入推进学院研究生教育改革，激发研究生学习和科研的积极性，全面提高研究生教育质量，根据《武汉科技大学研究生奖助体系实施办法》</w:t>
      </w:r>
      <w:r>
        <w:rPr>
          <w:rFonts w:hint="eastAsia" w:ascii="仿宋" w:hAnsi="仿宋" w:eastAsia="仿宋" w:cs="仿宋"/>
          <w:color w:val="auto"/>
          <w:spacing w:val="-5"/>
          <w:sz w:val="28"/>
          <w:szCs w:val="28"/>
          <w:highlight w:val="none"/>
          <w:lang w:eastAsia="zh-CN"/>
        </w:rPr>
        <w:t>（武科大研〔202</w:t>
      </w:r>
      <w:r>
        <w:rPr>
          <w:rFonts w:hint="eastAsia" w:ascii="仿宋" w:hAnsi="仿宋" w:eastAsia="仿宋" w:cs="仿宋"/>
          <w:color w:val="auto"/>
          <w:spacing w:val="-5"/>
          <w:sz w:val="28"/>
          <w:szCs w:val="28"/>
          <w:highlight w:val="none"/>
          <w:lang w:val="en-US" w:eastAsia="zh-CN"/>
        </w:rPr>
        <w:t>2</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60</w:t>
      </w:r>
      <w:r>
        <w:rPr>
          <w:rFonts w:hint="eastAsia" w:ascii="仿宋" w:hAnsi="仿宋" w:eastAsia="仿宋" w:cs="仿宋"/>
          <w:color w:val="auto"/>
          <w:spacing w:val="-5"/>
          <w:sz w:val="28"/>
          <w:szCs w:val="28"/>
          <w:highlight w:val="none"/>
          <w:lang w:eastAsia="zh-CN"/>
        </w:rPr>
        <w:t>号）</w:t>
      </w:r>
      <w:r>
        <w:rPr>
          <w:rFonts w:hint="eastAsia" w:ascii="仿宋" w:hAnsi="仿宋" w:eastAsia="仿宋" w:cs="仿宋"/>
          <w:color w:val="auto"/>
          <w:spacing w:val="-5"/>
          <w:sz w:val="28"/>
          <w:szCs w:val="28"/>
          <w:lang w:eastAsia="zh-CN"/>
        </w:rPr>
        <w:t>的文件精神，结合学院实际，特制定本办法。</w:t>
      </w:r>
    </w:p>
    <w:p>
      <w:pPr>
        <w:spacing w:before="444" w:after="240" w:afterLines="100"/>
        <w:jc w:val="center"/>
        <w:rPr>
          <w:rFonts w:hint="eastAsia" w:ascii="黑体" w:hAnsi="黑体" w:eastAsia="黑体" w:cs="黑体"/>
          <w:color w:val="auto"/>
          <w:sz w:val="30"/>
          <w:szCs w:val="22"/>
          <w:lang w:eastAsia="zh-CN"/>
        </w:rPr>
      </w:pPr>
      <w:r>
        <w:rPr>
          <w:rFonts w:hint="eastAsia" w:ascii="黑体" w:hAnsi="黑体" w:eastAsia="黑体" w:cs="黑体"/>
          <w:color w:val="auto"/>
          <w:sz w:val="30"/>
          <w:szCs w:val="22"/>
          <w:lang w:eastAsia="zh-CN"/>
        </w:rPr>
        <w:t>第二章 申请条件与奖励标准</w:t>
      </w:r>
    </w:p>
    <w:p>
      <w:pPr>
        <w:keepNext w:val="0"/>
        <w:keepLines w:val="0"/>
        <w:pageBreakBefore w:val="0"/>
        <w:widowControl/>
        <w:kinsoku/>
        <w:wordWrap/>
        <w:overflowPunct/>
        <w:topLinePunct w:val="0"/>
        <w:autoSpaceDE/>
        <w:autoSpaceDN/>
        <w:bidi w:val="0"/>
        <w:adjustRightInd/>
        <w:snapToGrid/>
        <w:spacing w:before="444" w:line="240" w:lineRule="auto"/>
        <w:ind w:firstLine="542" w:firstLineChars="200"/>
        <w:jc w:val="both"/>
        <w:textAlignment w:val="auto"/>
        <w:rPr>
          <w:rFonts w:hint="default" w:ascii="仿宋" w:hAnsi="仿宋" w:eastAsia="仿宋" w:cs="仿宋"/>
          <w:b/>
          <w:bCs/>
          <w:color w:val="auto"/>
          <w:spacing w:val="-5"/>
          <w:sz w:val="28"/>
          <w:szCs w:val="28"/>
          <w:highlight w:val="none"/>
          <w:lang w:val="en-US" w:eastAsia="zh-CN"/>
        </w:rPr>
      </w:pPr>
      <w:r>
        <w:rPr>
          <w:rFonts w:hint="eastAsia" w:ascii="仿宋" w:hAnsi="仿宋" w:eastAsia="仿宋" w:cs="仿宋"/>
          <w:b/>
          <w:bCs/>
          <w:color w:val="auto"/>
          <w:spacing w:val="-5"/>
          <w:sz w:val="28"/>
          <w:szCs w:val="28"/>
          <w:highlight w:val="none"/>
          <w:lang w:eastAsia="zh-CN"/>
        </w:rPr>
        <w:t>第二条</w:t>
      </w:r>
      <w:r>
        <w:rPr>
          <w:rFonts w:hint="eastAsia" w:ascii="仿宋" w:hAnsi="仿宋" w:eastAsia="仿宋" w:cs="仿宋"/>
          <w:b/>
          <w:bCs/>
          <w:color w:val="auto"/>
          <w:spacing w:val="-5"/>
          <w:sz w:val="28"/>
          <w:szCs w:val="28"/>
          <w:highlight w:val="none"/>
          <w:lang w:val="en-US" w:eastAsia="zh-CN"/>
        </w:rPr>
        <w:t xml:space="preserve"> </w:t>
      </w:r>
      <w:r>
        <w:rPr>
          <w:rFonts w:hint="eastAsia" w:ascii="仿宋" w:hAnsi="仿宋" w:eastAsia="仿宋" w:cs="仿宋"/>
          <w:b w:val="0"/>
          <w:bCs w:val="0"/>
          <w:color w:val="auto"/>
          <w:spacing w:val="-5"/>
          <w:sz w:val="28"/>
          <w:szCs w:val="28"/>
          <w:highlight w:val="none"/>
          <w:lang w:val="en-US" w:eastAsia="zh-CN"/>
        </w:rPr>
        <w:t>申请条件如下：</w:t>
      </w:r>
    </w:p>
    <w:p>
      <w:pPr>
        <w:keepNext w:val="0"/>
        <w:keepLines w:val="0"/>
        <w:pageBreakBefore w:val="0"/>
        <w:widowControl/>
        <w:kinsoku/>
        <w:wordWrap/>
        <w:overflowPunct/>
        <w:topLinePunct w:val="0"/>
        <w:autoSpaceDE/>
        <w:autoSpaceDN/>
        <w:bidi w:val="0"/>
        <w:adjustRightInd/>
        <w:snapToGrid/>
        <w:spacing w:before="164" w:beforeLines="50" w:line="30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val="en-US" w:eastAsia="zh-CN"/>
        </w:rPr>
        <w:t>1、</w:t>
      </w:r>
      <w:r>
        <w:rPr>
          <w:rFonts w:hint="eastAsia" w:ascii="仿宋" w:hAnsi="仿宋" w:eastAsia="仿宋" w:cs="仿宋"/>
          <w:color w:val="auto"/>
          <w:spacing w:val="-5"/>
          <w:sz w:val="28"/>
          <w:szCs w:val="28"/>
          <w:highlight w:val="none"/>
          <w:lang w:eastAsia="zh-CN"/>
        </w:rPr>
        <w:t>取得我校正式学籍，在规定学制年限内，无固定工资收入且人事档案完全转入我校的非在职研究生；</w:t>
      </w:r>
    </w:p>
    <w:p>
      <w:pPr>
        <w:keepNext w:val="0"/>
        <w:keepLines w:val="0"/>
        <w:pageBreakBefore w:val="0"/>
        <w:widowControl/>
        <w:kinsoku/>
        <w:wordWrap/>
        <w:overflowPunct/>
        <w:topLinePunct w:val="0"/>
        <w:autoSpaceDE/>
        <w:autoSpaceDN/>
        <w:bidi w:val="0"/>
        <w:adjustRightInd/>
        <w:snapToGrid/>
        <w:spacing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val="en-US" w:eastAsia="zh-CN"/>
        </w:rPr>
        <w:t>2、</w:t>
      </w:r>
      <w:r>
        <w:rPr>
          <w:rFonts w:hint="eastAsia" w:ascii="仿宋" w:hAnsi="仿宋" w:eastAsia="仿宋" w:cs="仿宋"/>
          <w:color w:val="auto"/>
          <w:spacing w:val="-5"/>
          <w:sz w:val="28"/>
          <w:szCs w:val="28"/>
          <w:highlight w:val="none"/>
          <w:lang w:eastAsia="zh-CN"/>
        </w:rPr>
        <w:t>参评研究生须具有中华人民共和国国籍；</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3、热爱社会主义祖国，拥护中国共产党的领导，遵守宪法和法律。</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研究生有以下情形之一者，不能参评学业奖学金：</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1、违反校纪校规者且未解除处分者；</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2、课程考试不及格或考核不合格者；</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3、在学期间退学、延长学年以及因其它原因学籍变动者；</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4、未按学校规定注册而又无正当事由者；</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5、导师认为研究生未能履行责任而需要停止学业奖学金发放的。</w:t>
      </w:r>
    </w:p>
    <w:p>
      <w:pPr>
        <w:keepNext w:val="0"/>
        <w:keepLines w:val="0"/>
        <w:pageBreakBefore w:val="0"/>
        <w:widowControl/>
        <w:kinsoku/>
        <w:wordWrap/>
        <w:overflowPunct/>
        <w:topLinePunct w:val="0"/>
        <w:autoSpaceDE/>
        <w:autoSpaceDN/>
        <w:bidi w:val="0"/>
        <w:adjustRightInd/>
        <w:snapToGrid/>
        <w:spacing w:before="164" w:beforeLines="50" w:line="240" w:lineRule="auto"/>
        <w:ind w:firstLine="540" w:firstLineChars="200"/>
        <w:jc w:val="both"/>
        <w:textAlignment w:val="auto"/>
        <w:rPr>
          <w:rFonts w:hint="default"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6、有其他不适合继续享受学业奖学金的行为者。</w:t>
      </w:r>
    </w:p>
    <w:p>
      <w:pPr>
        <w:keepNext w:val="0"/>
        <w:keepLines w:val="0"/>
        <w:pageBreakBefore w:val="0"/>
        <w:widowControl/>
        <w:kinsoku/>
        <w:wordWrap/>
        <w:overflowPunct/>
        <w:topLinePunct w:val="0"/>
        <w:autoSpaceDE/>
        <w:autoSpaceDN/>
        <w:bidi w:val="0"/>
        <w:adjustRightInd/>
        <w:snapToGrid/>
        <w:spacing w:before="44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第三条</w:t>
      </w:r>
      <w:r>
        <w:rPr>
          <w:rFonts w:hint="eastAsia" w:ascii="仿宋" w:hAnsi="仿宋" w:eastAsia="仿宋" w:cs="仿宋"/>
          <w:color w:val="auto"/>
          <w:spacing w:val="-5"/>
          <w:sz w:val="28"/>
          <w:szCs w:val="28"/>
          <w:lang w:eastAsia="zh-CN"/>
        </w:rPr>
        <w:t xml:space="preserve"> 硕士研究生入学后第一学年学业奖学金的评审，</w:t>
      </w:r>
      <w:r>
        <w:rPr>
          <w:rFonts w:hint="eastAsia" w:ascii="仿宋" w:hAnsi="仿宋" w:eastAsia="仿宋" w:cs="仿宋"/>
          <w:color w:val="auto"/>
          <w:spacing w:val="-5"/>
          <w:sz w:val="28"/>
          <w:szCs w:val="28"/>
          <w:lang w:val="en-US" w:eastAsia="zh-CN"/>
        </w:rPr>
        <w:t>根据研究生入学统一考试初试、复试成绩等情况评定</w:t>
      </w:r>
      <w:r>
        <w:rPr>
          <w:rFonts w:hint="eastAsia" w:ascii="仿宋" w:hAnsi="仿宋" w:eastAsia="仿宋" w:cs="仿宋"/>
          <w:color w:val="auto"/>
          <w:spacing w:val="-5"/>
          <w:sz w:val="28"/>
          <w:szCs w:val="28"/>
          <w:lang w:eastAsia="zh-CN"/>
        </w:rPr>
        <w:t>，其中被我校录取的推免生享受一等学业奖学金；硕士研究生第二、三学年学业奖学金按照其上一学年在学业成绩、学术成果以及社会活动等方面的综合表现实行动态调整，具体如下：</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w:t>
      </w:r>
      <w:r>
        <w:rPr>
          <w:rFonts w:hint="eastAsia" w:ascii="仿宋" w:hAnsi="仿宋" w:eastAsia="仿宋" w:cs="仿宋"/>
          <w:color w:val="auto"/>
          <w:spacing w:val="-5"/>
          <w:sz w:val="28"/>
          <w:szCs w:val="28"/>
          <w:lang w:val="en-US" w:eastAsia="zh-CN"/>
        </w:rPr>
        <w:t>1</w:t>
      </w:r>
      <w:r>
        <w:rPr>
          <w:rFonts w:hint="eastAsia" w:ascii="仿宋" w:hAnsi="仿宋" w:eastAsia="仿宋" w:cs="仿宋"/>
          <w:color w:val="auto"/>
          <w:spacing w:val="-5"/>
          <w:sz w:val="28"/>
          <w:szCs w:val="28"/>
          <w:lang w:eastAsia="zh-CN"/>
        </w:rPr>
        <w:t>）第二学年学业奖学金调整计分办法</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bookmarkStart w:id="1" w:name="br1_0"/>
      <w:bookmarkEnd w:id="1"/>
      <w:r>
        <w:rPr>
          <w:rFonts w:hint="eastAsia" w:ascii="仿宋" w:hAnsi="仿宋" w:eastAsia="仿宋" w:cs="仿宋"/>
          <w:color w:val="auto"/>
          <w:spacing w:val="-5"/>
          <w:sz w:val="28"/>
          <w:szCs w:val="28"/>
          <w:lang w:eastAsia="zh-CN"/>
        </w:rPr>
        <w:drawing>
          <wp:anchor distT="0" distB="0" distL="114300" distR="114300" simplePos="0" relativeHeight="251659264" behindDoc="1" locked="0" layoutInCell="1" allowOverlap="1">
            <wp:simplePos x="0" y="0"/>
            <wp:positionH relativeFrom="page">
              <wp:posOffset>-12700</wp:posOffset>
            </wp:positionH>
            <wp:positionV relativeFrom="page">
              <wp:posOffset>-12700</wp:posOffset>
            </wp:positionV>
            <wp:extent cx="38100" cy="38100"/>
            <wp:effectExtent l="0" t="0" r="0" b="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4"/>
                    <a:stretch>
                      <a:fillRect/>
                    </a:stretch>
                  </pic:blipFill>
                  <pic:spPr>
                    <a:xfrm>
                      <a:off x="0" y="0"/>
                      <a:ext cx="38100" cy="38100"/>
                    </a:xfrm>
                    <a:prstGeom prst="rect">
                      <a:avLst/>
                    </a:prstGeom>
                    <a:noFill/>
                    <a:ln>
                      <a:noFill/>
                    </a:ln>
                  </pic:spPr>
                </pic:pic>
              </a:graphicData>
            </a:graphic>
          </wp:anchor>
        </w:drawing>
      </w:r>
      <w:bookmarkStart w:id="2" w:name="br1_1"/>
      <w:bookmarkEnd w:id="2"/>
      <w:r>
        <w:rPr>
          <w:rFonts w:hint="eastAsia" w:ascii="仿宋" w:hAnsi="仿宋" w:eastAsia="仿宋" w:cs="仿宋"/>
          <w:color w:val="auto"/>
          <w:spacing w:val="-5"/>
          <w:sz w:val="28"/>
          <w:szCs w:val="28"/>
          <w:lang w:eastAsia="zh-CN"/>
        </w:rPr>
        <w:t>学业奖学金总分=课程成绩加权分*60%+综合测评得分*40%</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课程成绩加权分=∑该门课成绩*该门课学分/总学分</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default"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lang w:eastAsia="zh-CN"/>
        </w:rPr>
        <w:t>课程成绩是指包含学位课和非学位课在内的课程总成绩，且分数取小数点后三位，申报者课程学习成绩以研究生培养系统下载为准。综合测评包含学生的科研情况和综合表现情况。</w:t>
      </w:r>
      <w:r>
        <w:rPr>
          <w:rFonts w:hint="eastAsia" w:ascii="仿宋" w:hAnsi="仿宋" w:eastAsia="仿宋" w:cs="仿宋"/>
          <w:color w:val="auto"/>
          <w:spacing w:val="-5"/>
          <w:sz w:val="28"/>
          <w:szCs w:val="28"/>
          <w:highlight w:val="none"/>
          <w:lang w:eastAsia="zh-CN"/>
        </w:rPr>
        <w:t>提交参评的各类成果应为研究生入学当年</w:t>
      </w:r>
      <w:r>
        <w:rPr>
          <w:rFonts w:hint="eastAsia" w:ascii="仿宋" w:hAnsi="仿宋" w:eastAsia="仿宋" w:cs="仿宋"/>
          <w:color w:val="auto"/>
          <w:spacing w:val="-5"/>
          <w:sz w:val="28"/>
          <w:szCs w:val="28"/>
          <w:highlight w:val="none"/>
          <w:lang w:val="en-US" w:eastAsia="zh-CN"/>
        </w:rPr>
        <w:t>9月1日至研究生入学第二年8月31日内取得。</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w:t>
      </w:r>
      <w:r>
        <w:rPr>
          <w:rFonts w:hint="eastAsia" w:ascii="仿宋" w:hAnsi="仿宋" w:eastAsia="仿宋" w:cs="仿宋"/>
          <w:color w:val="auto"/>
          <w:spacing w:val="-5"/>
          <w:sz w:val="28"/>
          <w:szCs w:val="28"/>
          <w:lang w:val="en-US" w:eastAsia="zh-CN"/>
        </w:rPr>
        <w:t>2</w:t>
      </w:r>
      <w:r>
        <w:rPr>
          <w:rFonts w:hint="eastAsia" w:ascii="仿宋" w:hAnsi="仿宋" w:eastAsia="仿宋" w:cs="仿宋"/>
          <w:color w:val="auto"/>
          <w:spacing w:val="-5"/>
          <w:sz w:val="28"/>
          <w:szCs w:val="28"/>
          <w:lang w:eastAsia="zh-CN"/>
        </w:rPr>
        <w:t>）第三学年学业奖学金计分办法</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学业奖学金总分=综合测评得分</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第三学年主要测评学生在第二学年的各类表现，由于第二学年基本没有课程，故重在考查学生的科研情况和综合表现情况，依此确定学业奖学金人选。若评选人计分相同，以评选人研一阶段取得的学业成绩为参考进行评比。</w:t>
      </w:r>
      <w:r>
        <w:rPr>
          <w:rFonts w:hint="eastAsia" w:ascii="仿宋" w:hAnsi="仿宋" w:eastAsia="仿宋" w:cs="仿宋"/>
          <w:color w:val="auto"/>
          <w:spacing w:val="-5"/>
          <w:sz w:val="28"/>
          <w:szCs w:val="28"/>
          <w:highlight w:val="none"/>
          <w:lang w:eastAsia="zh-CN"/>
        </w:rPr>
        <w:t>提交参评的各类成果应为</w:t>
      </w:r>
      <w:r>
        <w:rPr>
          <w:rFonts w:hint="eastAsia" w:ascii="仿宋" w:hAnsi="仿宋" w:eastAsia="仿宋" w:cs="仿宋"/>
          <w:color w:val="auto"/>
          <w:spacing w:val="-5"/>
          <w:sz w:val="28"/>
          <w:szCs w:val="28"/>
          <w:highlight w:val="none"/>
          <w:lang w:val="en-US" w:eastAsia="zh-CN"/>
        </w:rPr>
        <w:t>研究生入学第二年9月1日至研究生入学第三年8月31日内取得</w:t>
      </w:r>
      <w:r>
        <w:rPr>
          <w:rFonts w:hint="eastAsia" w:ascii="仿宋" w:hAnsi="仿宋" w:eastAsia="仿宋" w:cs="仿宋"/>
          <w:color w:val="auto"/>
          <w:spacing w:val="-5"/>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所有参评学业奖学金的各类成果在后续参评学业奖学金时不可重复使用，但是在参加国家奖学金、社会奖学金等其他各类奖学金评选时可以使用。</w:t>
      </w:r>
    </w:p>
    <w:p>
      <w:pPr>
        <w:keepNext w:val="0"/>
        <w:keepLines w:val="0"/>
        <w:pageBreakBefore w:val="0"/>
        <w:widowControl/>
        <w:numPr>
          <w:ilvl w:val="0"/>
          <w:numId w:val="1"/>
        </w:numPr>
        <w:kinsoku/>
        <w:wordWrap/>
        <w:overflowPunct/>
        <w:topLinePunct w:val="0"/>
        <w:autoSpaceDE/>
        <w:autoSpaceDN/>
        <w:bidi w:val="0"/>
        <w:adjustRightInd/>
        <w:snapToGrid/>
        <w:spacing w:before="44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硕博连读研究生根据当年确定的层次阶段评定学业奖学金。</w:t>
      </w:r>
    </w:p>
    <w:p>
      <w:pPr>
        <w:keepNext w:val="0"/>
        <w:keepLines w:val="0"/>
        <w:pageBreakBefore w:val="0"/>
        <w:widowControl/>
        <w:numPr>
          <w:ilvl w:val="0"/>
          <w:numId w:val="1"/>
        </w:numPr>
        <w:kinsoku/>
        <w:wordWrap/>
        <w:overflowPunct/>
        <w:topLinePunct w:val="0"/>
        <w:autoSpaceDE/>
        <w:autoSpaceDN/>
        <w:bidi w:val="0"/>
        <w:adjustRightInd/>
        <w:snapToGrid/>
        <w:spacing w:before="324" w:line="300" w:lineRule="auto"/>
        <w:ind w:left="0" w:leftChars="0" w:firstLine="540" w:firstLineChars="200"/>
        <w:jc w:val="both"/>
        <w:textAlignment w:val="auto"/>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研究生学业奖学金是国家和学校共同设立，用于奖励支持优秀研究生更好完成学业。</w:t>
      </w:r>
      <w:r>
        <w:rPr>
          <w:rFonts w:hint="eastAsia" w:ascii="仿宋" w:hAnsi="仿宋" w:eastAsia="仿宋" w:cs="仿宋"/>
          <w:color w:val="auto"/>
          <w:spacing w:val="-5"/>
          <w:sz w:val="28"/>
          <w:szCs w:val="28"/>
          <w:highlight w:val="none"/>
          <w:lang w:val="en-US" w:eastAsia="zh-CN"/>
        </w:rPr>
        <w:t>具体等级及金额见下表：</w:t>
      </w:r>
    </w:p>
    <w:p>
      <w:pPr>
        <w:keepNext w:val="0"/>
        <w:keepLines w:val="0"/>
        <w:pageBreakBefore w:val="0"/>
        <w:widowControl/>
        <w:numPr>
          <w:ilvl w:val="0"/>
          <w:numId w:val="0"/>
        </w:numPr>
        <w:kinsoku/>
        <w:wordWrap/>
        <w:overflowPunct/>
        <w:topLinePunct w:val="0"/>
        <w:autoSpaceDE/>
        <w:autoSpaceDN/>
        <w:bidi w:val="0"/>
        <w:adjustRightInd/>
        <w:snapToGrid/>
        <w:spacing w:before="324" w:line="300" w:lineRule="auto"/>
        <w:jc w:val="center"/>
        <w:textAlignment w:val="auto"/>
        <w:rPr>
          <w:rFonts w:hint="eastAsia" w:ascii="仿宋" w:hAnsi="仿宋" w:eastAsia="仿宋" w:cs="仿宋"/>
          <w:color w:val="auto"/>
          <w:spacing w:val="-5"/>
          <w:sz w:val="28"/>
          <w:szCs w:val="28"/>
          <w:lang w:val="en-US" w:eastAsia="zh-CN"/>
        </w:rPr>
      </w:pPr>
      <w:r>
        <w:rPr>
          <w:rFonts w:hint="eastAsia" w:ascii="仿宋" w:hAnsi="仿宋" w:eastAsia="仿宋" w:cs="仿宋"/>
          <w:b/>
          <w:bCs/>
          <w:color w:val="auto"/>
          <w:spacing w:val="-5"/>
          <w:sz w:val="28"/>
          <w:szCs w:val="28"/>
          <w:lang w:val="en-US" w:eastAsia="zh-CN"/>
        </w:rPr>
        <w:t>研究生学业奖学金等级及额度</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2684"/>
        <w:gridCol w:w="1109"/>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pct"/>
            <w:gridSpan w:val="2"/>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b/>
                <w:bCs/>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b/>
                <w:bCs/>
                <w:i w:val="0"/>
                <w:iCs w:val="0"/>
                <w:caps w:val="0"/>
                <w:color w:val="auto"/>
                <w:spacing w:val="0"/>
                <w:kern w:val="0"/>
                <w:sz w:val="28"/>
                <w:szCs w:val="28"/>
                <w:shd w:val="clear" w:color="auto" w:fill="FFFFFF"/>
                <w:vertAlign w:val="baseline"/>
                <w:lang w:val="en-US" w:eastAsia="zh-CN" w:bidi="ar"/>
              </w:rPr>
              <w:t>类别</w:t>
            </w:r>
          </w:p>
        </w:tc>
        <w:tc>
          <w:tcPr>
            <w:tcW w:w="651" w:type="pct"/>
            <w:noWrap w:val="0"/>
            <w:vAlign w:val="center"/>
          </w:tcPr>
          <w:p>
            <w:pPr>
              <w:keepNext w:val="0"/>
              <w:keepLines w:val="0"/>
              <w:widowControl/>
              <w:suppressLineNumbers w:val="0"/>
              <w:jc w:val="center"/>
              <w:rPr>
                <w:rFonts w:hint="eastAsia" w:ascii="仿宋" w:hAnsi="仿宋" w:eastAsia="仿宋" w:cs="仿宋"/>
                <w:b/>
                <w:bCs/>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b/>
                <w:bCs/>
                <w:color w:val="auto"/>
                <w:kern w:val="0"/>
                <w:sz w:val="28"/>
                <w:szCs w:val="28"/>
                <w:lang w:val="en-US" w:eastAsia="zh-CN" w:bidi="ar"/>
              </w:rPr>
              <w:t>等级</w:t>
            </w:r>
          </w:p>
        </w:tc>
        <w:tc>
          <w:tcPr>
            <w:tcW w:w="1576" w:type="pct"/>
            <w:noWrap w:val="0"/>
            <w:vAlign w:val="center"/>
          </w:tcPr>
          <w:p>
            <w:pPr>
              <w:keepNext w:val="0"/>
              <w:keepLines w:val="0"/>
              <w:widowControl/>
              <w:suppressLineNumbers w:val="0"/>
              <w:jc w:val="center"/>
              <w:rPr>
                <w:rFonts w:hint="eastAsia" w:ascii="仿宋" w:hAnsi="仿宋" w:eastAsia="仿宋" w:cs="仿宋"/>
                <w:b/>
                <w:bCs/>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b/>
                <w:bCs/>
                <w:color w:val="auto"/>
                <w:kern w:val="0"/>
                <w:sz w:val="28"/>
                <w:szCs w:val="28"/>
                <w:lang w:val="en-US" w:eastAsia="zh-CN" w:bidi="ar"/>
              </w:rPr>
              <w:t>额度(元/生·年)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color w:val="auto"/>
                <w:kern w:val="0"/>
                <w:sz w:val="28"/>
                <w:szCs w:val="28"/>
                <w:lang w:val="en-US" w:eastAsia="zh-CN" w:bidi="ar"/>
              </w:rPr>
              <w:t>博士研究生</w:t>
            </w:r>
          </w:p>
        </w:tc>
        <w:tc>
          <w:tcPr>
            <w:tcW w:w="1576"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color w:val="auto"/>
                <w:kern w:val="0"/>
                <w:sz w:val="28"/>
                <w:szCs w:val="28"/>
                <w:lang w:val="en-US" w:eastAsia="zh-CN" w:bidi="ar"/>
              </w:rPr>
              <w:t>学术型</w:t>
            </w:r>
          </w:p>
        </w:tc>
        <w:tc>
          <w:tcPr>
            <w:tcW w:w="651"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一等</w:t>
            </w:r>
          </w:p>
        </w:tc>
        <w:tc>
          <w:tcPr>
            <w:tcW w:w="1576"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pct"/>
            <w:vMerge w:val="restart"/>
            <w:noWrap w:val="0"/>
            <w:vAlign w:val="center"/>
          </w:tcPr>
          <w:p>
            <w:pPr>
              <w:bidi w:val="0"/>
              <w:jc w:val="center"/>
              <w:rPr>
                <w:rFonts w:hint="eastAsia" w:ascii="仿宋" w:hAnsi="仿宋" w:eastAsia="仿宋" w:cs="仿宋"/>
                <w:color w:val="auto"/>
                <w:kern w:val="2"/>
                <w:sz w:val="28"/>
                <w:szCs w:val="28"/>
                <w:highlight w:val="red"/>
                <w:lang w:val="en-US" w:eastAsia="zh-CN" w:bidi="ar-SA"/>
              </w:rPr>
            </w:pPr>
            <w:r>
              <w:rPr>
                <w:rFonts w:hint="eastAsia" w:ascii="仿宋" w:hAnsi="仿宋" w:eastAsia="仿宋" w:cs="仿宋"/>
                <w:i w:val="0"/>
                <w:iCs w:val="0"/>
                <w:caps w:val="0"/>
                <w:color w:val="auto"/>
                <w:spacing w:val="0"/>
                <w:kern w:val="0"/>
                <w:sz w:val="28"/>
                <w:szCs w:val="28"/>
                <w:highlight w:val="none"/>
                <w:shd w:val="clear" w:color="auto" w:fill="FFFFFF"/>
                <w:vertAlign w:val="baseline"/>
                <w:lang w:val="en-US" w:eastAsia="zh-CN" w:bidi="ar"/>
              </w:rPr>
              <w:t>硕士研究生</w:t>
            </w:r>
          </w:p>
        </w:tc>
        <w:tc>
          <w:tcPr>
            <w:tcW w:w="1576" w:type="pct"/>
            <w:vMerge w:val="restart"/>
            <w:noWrap w:val="0"/>
            <w:vAlign w:val="center"/>
          </w:tcPr>
          <w:p>
            <w:pPr>
              <w:keepNext w:val="0"/>
              <w:keepLines w:val="0"/>
              <w:widowControl/>
              <w:suppressLineNumbers w:val="0"/>
              <w:jc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学术型</w:t>
            </w:r>
          </w:p>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highlight w:val="red"/>
                <w:shd w:val="clear" w:color="auto" w:fill="FFFFFF"/>
                <w:vertAlign w:val="baseline"/>
                <w:lang w:val="en-US" w:eastAsia="zh-CN" w:bidi="ar"/>
              </w:rPr>
            </w:pPr>
            <w:r>
              <w:rPr>
                <w:rFonts w:hint="eastAsia" w:ascii="仿宋" w:hAnsi="仿宋" w:eastAsia="仿宋" w:cs="仿宋"/>
                <w:color w:val="auto"/>
                <w:kern w:val="0"/>
                <w:sz w:val="28"/>
                <w:szCs w:val="28"/>
                <w:highlight w:val="none"/>
                <w:lang w:val="en-US" w:eastAsia="zh-CN" w:bidi="ar"/>
              </w:rPr>
              <w:t>专业学位</w:t>
            </w:r>
          </w:p>
        </w:tc>
        <w:tc>
          <w:tcPr>
            <w:tcW w:w="651" w:type="pct"/>
            <w:noWrap w:val="0"/>
            <w:vAlign w:val="center"/>
          </w:tcPr>
          <w:p>
            <w:pPr>
              <w:keepNext w:val="0"/>
              <w:keepLines w:val="0"/>
              <w:widowControl/>
              <w:suppressLineNumbers w:val="0"/>
              <w:spacing w:before="0" w:beforeAutospacing="0" w:after="0" w:afterAutospacing="0" w:line="357" w:lineRule="atLeast"/>
              <w:ind w:right="0" w:rightChars="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一等</w:t>
            </w:r>
          </w:p>
        </w:tc>
        <w:tc>
          <w:tcPr>
            <w:tcW w:w="1576"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pct"/>
            <w:vMerge w:val="continue"/>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p>
        </w:tc>
        <w:tc>
          <w:tcPr>
            <w:tcW w:w="1576" w:type="pct"/>
            <w:vMerge w:val="continue"/>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p>
        </w:tc>
        <w:tc>
          <w:tcPr>
            <w:tcW w:w="651" w:type="pct"/>
            <w:noWrap w:val="0"/>
            <w:vAlign w:val="center"/>
          </w:tcPr>
          <w:p>
            <w:pPr>
              <w:keepNext w:val="0"/>
              <w:keepLines w:val="0"/>
              <w:widowControl/>
              <w:suppressLineNumbers w:val="0"/>
              <w:spacing w:before="0" w:beforeAutospacing="0" w:after="0" w:afterAutospacing="0" w:line="357" w:lineRule="atLeast"/>
              <w:ind w:right="0" w:rightChars="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二等</w:t>
            </w:r>
          </w:p>
        </w:tc>
        <w:tc>
          <w:tcPr>
            <w:tcW w:w="1576"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pct"/>
            <w:vMerge w:val="continue"/>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p>
        </w:tc>
        <w:tc>
          <w:tcPr>
            <w:tcW w:w="1576" w:type="pct"/>
            <w:vMerge w:val="continue"/>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p>
        </w:tc>
        <w:tc>
          <w:tcPr>
            <w:tcW w:w="651" w:type="pct"/>
            <w:noWrap w:val="0"/>
            <w:vAlign w:val="center"/>
          </w:tcPr>
          <w:p>
            <w:pPr>
              <w:keepNext w:val="0"/>
              <w:keepLines w:val="0"/>
              <w:widowControl/>
              <w:suppressLineNumbers w:val="0"/>
              <w:spacing w:before="0" w:beforeAutospacing="0" w:after="0" w:afterAutospacing="0" w:line="357" w:lineRule="atLeast"/>
              <w:ind w:right="0" w:rightChars="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三等</w:t>
            </w:r>
          </w:p>
        </w:tc>
        <w:tc>
          <w:tcPr>
            <w:tcW w:w="1576" w:type="pct"/>
            <w:noWrap w:val="0"/>
            <w:vAlign w:val="center"/>
          </w:tcPr>
          <w:p>
            <w:pPr>
              <w:keepNext w:val="0"/>
              <w:keepLines w:val="0"/>
              <w:widowControl/>
              <w:suppressLineNumbers w:val="0"/>
              <w:spacing w:before="0" w:beforeAutospacing="0" w:after="0" w:afterAutospacing="0" w:line="357" w:lineRule="atLeast"/>
              <w:ind w:right="0"/>
              <w:jc w:val="cente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color="auto" w:fill="FFFFFF"/>
                <w:vertAlign w:val="baseline"/>
                <w:lang w:val="en-US" w:eastAsia="zh-CN" w:bidi="ar"/>
              </w:rPr>
              <w:t>4000</w:t>
            </w:r>
          </w:p>
        </w:tc>
      </w:tr>
    </w:tbl>
    <w:p>
      <w:pPr>
        <w:spacing w:before="444" w:after="240" w:afterLines="100"/>
        <w:jc w:val="center"/>
        <w:rPr>
          <w:rFonts w:hint="eastAsia" w:ascii="黑体" w:hAnsi="黑体" w:eastAsia="黑体" w:cs="黑体"/>
          <w:color w:val="auto"/>
          <w:sz w:val="30"/>
          <w:szCs w:val="22"/>
          <w:lang w:eastAsia="zh-CN"/>
        </w:rPr>
      </w:pPr>
      <w:r>
        <w:rPr>
          <w:rFonts w:hint="eastAsia" w:ascii="黑体" w:hAnsi="黑体" w:eastAsia="黑体" w:cs="黑体"/>
          <w:color w:val="auto"/>
          <w:sz w:val="30"/>
          <w:szCs w:val="22"/>
          <w:lang w:eastAsia="zh-CN"/>
        </w:rPr>
        <w:t>第三章 评审组织与程序</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黑体" w:hAnsi="黑体" w:eastAsia="黑体" w:cs="黑体"/>
          <w:color w:val="auto"/>
          <w:sz w:val="30"/>
          <w:szCs w:val="22"/>
          <w:lang w:eastAsia="zh-CN"/>
        </w:rPr>
      </w:pPr>
      <w:r>
        <w:rPr>
          <w:rFonts w:hint="eastAsia" w:ascii="仿宋" w:hAnsi="仿宋" w:eastAsia="仿宋" w:cs="仿宋"/>
          <w:b/>
          <w:bCs/>
          <w:color w:val="auto"/>
          <w:spacing w:val="-5"/>
          <w:sz w:val="28"/>
          <w:szCs w:val="28"/>
          <w:lang w:eastAsia="zh-CN"/>
        </w:rPr>
        <w:t>第六条</w:t>
      </w:r>
      <w:r>
        <w:rPr>
          <w:rFonts w:hint="eastAsia" w:ascii="仿宋" w:hAnsi="仿宋" w:eastAsia="仿宋" w:cs="仿宋"/>
          <w:color w:val="auto"/>
          <w:spacing w:val="-5"/>
          <w:sz w:val="28"/>
          <w:szCs w:val="28"/>
          <w:lang w:eastAsia="zh-CN"/>
        </w:rPr>
        <w:t xml:space="preserve"> 学院成立研究生学业奖学金评审委员会，由单位主要领导任主任委员，研究生导师、</w:t>
      </w:r>
      <w:r>
        <w:rPr>
          <w:rFonts w:hint="eastAsia" w:ascii="仿宋" w:hAnsi="仿宋" w:eastAsia="仿宋" w:cs="仿宋"/>
          <w:strike w:val="0"/>
          <w:dstrike w:val="0"/>
          <w:color w:val="auto"/>
          <w:spacing w:val="-5"/>
          <w:sz w:val="28"/>
          <w:szCs w:val="28"/>
          <w:highlight w:val="none"/>
          <w:lang w:val="en-US" w:eastAsia="zh-CN"/>
        </w:rPr>
        <w:t>研究生辅导员老师</w:t>
      </w:r>
      <w:r>
        <w:rPr>
          <w:rFonts w:hint="eastAsia" w:ascii="仿宋" w:hAnsi="仿宋" w:eastAsia="仿宋" w:cs="仿宋"/>
          <w:color w:val="auto"/>
          <w:spacing w:val="-5"/>
          <w:sz w:val="28"/>
          <w:szCs w:val="28"/>
          <w:lang w:eastAsia="zh-CN"/>
        </w:rPr>
        <w:t>、</w:t>
      </w:r>
      <w:r>
        <w:rPr>
          <w:rFonts w:hint="eastAsia" w:ascii="仿宋" w:hAnsi="仿宋" w:eastAsia="仿宋" w:cs="仿宋"/>
          <w:color w:val="auto"/>
          <w:spacing w:val="-5"/>
          <w:sz w:val="28"/>
          <w:szCs w:val="28"/>
          <w:lang w:val="en-US" w:eastAsia="zh-CN"/>
        </w:rPr>
        <w:t>研究生教务老师、</w:t>
      </w:r>
      <w:r>
        <w:rPr>
          <w:rFonts w:hint="eastAsia" w:ascii="仿宋" w:hAnsi="仿宋" w:eastAsia="仿宋" w:cs="仿宋"/>
          <w:color w:val="auto"/>
          <w:spacing w:val="-5"/>
          <w:sz w:val="28"/>
          <w:szCs w:val="28"/>
          <w:lang w:eastAsia="zh-CN"/>
        </w:rPr>
        <w:t>学生代表任委员，评审委员会负责制定本单位研究生学业奖学金评定细则，组织学院研究生学业奖学金动态调整以及初步评审等工作。</w:t>
      </w:r>
      <w:bookmarkStart w:id="3" w:name="br1_2"/>
      <w:bookmarkEnd w:id="3"/>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第七条</w:t>
      </w:r>
      <w:r>
        <w:rPr>
          <w:rFonts w:hint="eastAsia" w:ascii="仿宋" w:hAnsi="仿宋" w:eastAsia="仿宋" w:cs="仿宋"/>
          <w:color w:val="auto"/>
          <w:spacing w:val="-5"/>
          <w:sz w:val="28"/>
          <w:szCs w:val="28"/>
          <w:lang w:eastAsia="zh-CN"/>
        </w:rPr>
        <w:t xml:space="preserve"> 学生提出书面申请，经导师签署意见后提交给学院，学院组织奖学金评审委员会进行评选，并充分尊重学术组织以及研究生导师的推荐意见。</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第八条</w:t>
      </w:r>
      <w:r>
        <w:rPr>
          <w:rFonts w:hint="eastAsia" w:ascii="仿宋" w:hAnsi="仿宋" w:eastAsia="仿宋" w:cs="仿宋"/>
          <w:color w:val="auto"/>
          <w:spacing w:val="-5"/>
          <w:sz w:val="28"/>
          <w:szCs w:val="28"/>
          <w:lang w:eastAsia="zh-CN"/>
        </w:rPr>
        <w:t xml:space="preserve"> 学院确定获奖研究生名单，并对获奖名单进行不少于</w:t>
      </w:r>
      <w:r>
        <w:rPr>
          <w:rFonts w:hint="eastAsia" w:ascii="仿宋" w:hAnsi="仿宋" w:eastAsia="仿宋" w:cs="仿宋"/>
          <w:color w:val="auto"/>
          <w:spacing w:val="-5"/>
          <w:sz w:val="28"/>
          <w:szCs w:val="28"/>
          <w:highlight w:val="none"/>
          <w:lang w:val="en-US" w:eastAsia="zh-CN"/>
        </w:rPr>
        <w:t>5</w:t>
      </w:r>
      <w:r>
        <w:rPr>
          <w:rFonts w:hint="eastAsia" w:ascii="仿宋" w:hAnsi="仿宋" w:eastAsia="仿宋" w:cs="仿宋"/>
          <w:color w:val="auto"/>
          <w:spacing w:val="-5"/>
          <w:sz w:val="28"/>
          <w:szCs w:val="28"/>
          <w:lang w:eastAsia="zh-CN"/>
        </w:rPr>
        <w:t>个工作日的公示，公示期间接受学生申诉。公示无异议后，提交研究生院进行审定，审定结果在全校范围内进行不少于</w:t>
      </w:r>
      <w:r>
        <w:rPr>
          <w:rFonts w:hint="eastAsia" w:ascii="仿宋" w:hAnsi="仿宋" w:eastAsia="仿宋" w:cs="仿宋"/>
          <w:color w:val="auto"/>
          <w:spacing w:val="-5"/>
          <w:sz w:val="28"/>
          <w:szCs w:val="28"/>
          <w:highlight w:val="none"/>
          <w:lang w:val="en-US" w:eastAsia="zh-CN"/>
        </w:rPr>
        <w:t>5</w:t>
      </w:r>
      <w:r>
        <w:rPr>
          <w:rFonts w:hint="eastAsia" w:ascii="仿宋" w:hAnsi="仿宋" w:eastAsia="仿宋" w:cs="仿宋"/>
          <w:color w:val="auto"/>
          <w:spacing w:val="-5"/>
          <w:sz w:val="28"/>
          <w:szCs w:val="28"/>
          <w:lang w:eastAsia="zh-CN"/>
        </w:rPr>
        <w:t>个工作日的公示。</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第九条</w:t>
      </w:r>
      <w:r>
        <w:rPr>
          <w:rFonts w:hint="eastAsia" w:ascii="仿宋" w:hAnsi="仿宋" w:eastAsia="仿宋" w:cs="仿宋"/>
          <w:color w:val="auto"/>
          <w:spacing w:val="-5"/>
          <w:sz w:val="28"/>
          <w:szCs w:val="28"/>
          <w:lang w:eastAsia="zh-CN"/>
        </w:rPr>
        <w:t xml:space="preserve"> 对学业奖学金评审结果有异议的学生，可在学院公示阶段向学院提出书面异议，学院会及时给予答复。如果学生对学院作出的答复仍存在异议，可在学校公示阶段向研究生院书面提出裁决。</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第十条</w:t>
      </w:r>
      <w:r>
        <w:rPr>
          <w:rFonts w:hint="eastAsia" w:ascii="仿宋" w:hAnsi="仿宋" w:eastAsia="仿宋" w:cs="仿宋"/>
          <w:color w:val="auto"/>
          <w:spacing w:val="-5"/>
          <w:sz w:val="28"/>
          <w:szCs w:val="28"/>
          <w:lang w:eastAsia="zh-CN"/>
        </w:rPr>
        <w:t xml:space="preserve"> 研究生学业奖学金评审工作遵循“公正、公平、公开”原则，择优选取，严格执行国家有关教育法规，杜绝弄虚作假。</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第十一条</w:t>
      </w:r>
      <w:r>
        <w:rPr>
          <w:rFonts w:hint="eastAsia" w:ascii="仿宋" w:hAnsi="仿宋" w:eastAsia="仿宋" w:cs="仿宋"/>
          <w:color w:val="auto"/>
          <w:spacing w:val="-5"/>
          <w:sz w:val="28"/>
          <w:szCs w:val="28"/>
          <w:lang w:eastAsia="zh-CN"/>
        </w:rPr>
        <w:t xml:space="preserve"> 研究生出现以下情况的，学业奖学金暂停发放或进行相应调整：</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（一）因病或其他合法事由办理休学手续的，在发放之日前暂停学业奖学金的发放，待其复学后按照休学前评定的奖学金标准恢复发放。</w:t>
      </w:r>
    </w:p>
    <w:p>
      <w:pPr>
        <w:keepNext w:val="0"/>
        <w:keepLines w:val="0"/>
        <w:pageBreakBefore w:val="0"/>
        <w:widowControl/>
        <w:kinsoku/>
        <w:wordWrap/>
        <w:overflowPunct/>
        <w:topLinePunct w:val="0"/>
        <w:autoSpaceDE/>
        <w:autoSpaceDN/>
        <w:bidi w:val="0"/>
        <w:adjustRightInd/>
        <w:snapToGrid/>
        <w:spacing w:before="324" w:line="300" w:lineRule="auto"/>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（二）硕博连读学生退博转硕者，需退还按照博士期间累计获得的全部学业奖学金。退博转硕成为硕士研究生，仍在硕士资助年限内可参与硕士奖学金评定；</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第十二条</w:t>
      </w:r>
      <w:r>
        <w:rPr>
          <w:rFonts w:hint="eastAsia" w:ascii="仿宋" w:hAnsi="仿宋" w:eastAsia="仿宋" w:cs="仿宋"/>
          <w:color w:val="auto"/>
          <w:spacing w:val="-5"/>
          <w:sz w:val="28"/>
          <w:szCs w:val="28"/>
          <w:lang w:eastAsia="zh-CN"/>
        </w:rPr>
        <w:t xml:space="preserve"> 研究生所提供的材料必须真实,如发现有弄虚作假行为或与申请条件不符者,学校将撤销其学业奖学金资格,追回已发奖学金,并给予相应的纪律处分。</w:t>
      </w:r>
    </w:p>
    <w:p>
      <w:pPr>
        <w:spacing w:before="444" w:after="240" w:afterLines="100"/>
        <w:jc w:val="center"/>
        <w:rPr>
          <w:rFonts w:hint="eastAsia" w:ascii="黑体" w:hAnsi="黑体" w:eastAsia="黑体" w:cs="黑体"/>
          <w:color w:val="auto"/>
          <w:sz w:val="30"/>
          <w:szCs w:val="22"/>
          <w:lang w:eastAsia="zh-CN"/>
        </w:rPr>
      </w:pPr>
      <w:r>
        <w:rPr>
          <w:rFonts w:hint="eastAsia" w:ascii="黑体" w:hAnsi="黑体" w:eastAsia="黑体" w:cs="黑体"/>
          <w:color w:val="auto"/>
          <w:sz w:val="30"/>
          <w:szCs w:val="22"/>
          <w:lang w:eastAsia="zh-CN"/>
        </w:rPr>
        <w:t>第四章 附则</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第十三条</w:t>
      </w:r>
      <w:r>
        <w:rPr>
          <w:rFonts w:hint="eastAsia" w:ascii="仿宋" w:hAnsi="仿宋" w:eastAsia="仿宋" w:cs="仿宋"/>
          <w:color w:val="auto"/>
          <w:spacing w:val="-5"/>
          <w:sz w:val="28"/>
          <w:szCs w:val="28"/>
          <w:lang w:eastAsia="zh-CN"/>
        </w:rPr>
        <w:t xml:space="preserve"> 获得学业奖学金的研究生，可以同时获得国家奖学金、国家助学金等其他研究生国家奖助政策以及校内相关研究生资助政策资助。</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第十四条</w:t>
      </w:r>
      <w:r>
        <w:rPr>
          <w:rFonts w:hint="eastAsia" w:ascii="仿宋" w:hAnsi="仿宋" w:eastAsia="仿宋" w:cs="仿宋"/>
          <w:color w:val="auto"/>
          <w:spacing w:val="-5"/>
          <w:sz w:val="28"/>
          <w:szCs w:val="28"/>
          <w:lang w:eastAsia="zh-CN"/>
        </w:rPr>
        <w:t xml:space="preserve"> 学校公示无异议后将当年研究生学业奖学金一次性发放至研究生个人银行账户，并将研究生获得学业奖学金情况记入学生学籍档案。</w:t>
      </w:r>
    </w:p>
    <w:p>
      <w:pPr>
        <w:keepNext w:val="0"/>
        <w:keepLines w:val="0"/>
        <w:pageBreakBefore w:val="0"/>
        <w:widowControl/>
        <w:kinsoku/>
        <w:wordWrap/>
        <w:overflowPunct/>
        <w:topLinePunct w:val="0"/>
        <w:autoSpaceDE/>
        <w:autoSpaceDN/>
        <w:bidi w:val="0"/>
        <w:adjustRightInd/>
        <w:snapToGrid/>
        <w:spacing w:before="324" w:line="300" w:lineRule="auto"/>
        <w:ind w:firstLine="542"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b/>
          <w:bCs/>
          <w:color w:val="auto"/>
          <w:spacing w:val="-5"/>
          <w:sz w:val="28"/>
          <w:szCs w:val="28"/>
          <w:lang w:eastAsia="zh-CN"/>
        </w:rPr>
        <w:t>第十五条</w:t>
      </w:r>
      <w:r>
        <w:rPr>
          <w:rFonts w:hint="eastAsia" w:ascii="仿宋" w:hAnsi="仿宋" w:eastAsia="仿宋" w:cs="仿宋"/>
          <w:color w:val="auto"/>
          <w:spacing w:val="-5"/>
          <w:sz w:val="28"/>
          <w:szCs w:val="28"/>
          <w:lang w:eastAsia="zh-CN"/>
        </w:rPr>
        <w:t xml:space="preserve"> 本办法由</w:t>
      </w:r>
      <w:r>
        <w:rPr>
          <w:rFonts w:hint="eastAsia" w:ascii="仿宋" w:hAnsi="仿宋" w:eastAsia="仿宋" w:cs="仿宋"/>
          <w:color w:val="auto"/>
          <w:spacing w:val="-5"/>
          <w:sz w:val="28"/>
          <w:szCs w:val="28"/>
          <w:lang w:val="en-US" w:eastAsia="zh-CN"/>
        </w:rPr>
        <w:t>生命科学与健康</w:t>
      </w:r>
      <w:r>
        <w:rPr>
          <w:rFonts w:hint="eastAsia" w:ascii="仿宋" w:hAnsi="仿宋" w:eastAsia="仿宋" w:cs="仿宋"/>
          <w:color w:val="auto"/>
          <w:spacing w:val="-5"/>
          <w:sz w:val="28"/>
          <w:szCs w:val="28"/>
          <w:lang w:eastAsia="zh-CN"/>
        </w:rPr>
        <w:t>学院负责解释。</w:t>
      </w:r>
      <w:bookmarkStart w:id="4" w:name="br1_4"/>
      <w:bookmarkEnd w:id="4"/>
      <w:bookmarkStart w:id="13" w:name="_GoBack"/>
      <w:bookmarkEnd w:id="13"/>
    </w:p>
    <w:p>
      <w:pPr>
        <w:spacing w:after="120" w:afterLines="50"/>
        <w:rPr>
          <w:rFonts w:hint="eastAsia" w:ascii="黑体" w:hAnsi="黑体" w:eastAsia="黑体" w:cs="黑体"/>
          <w:color w:val="auto"/>
          <w:szCs w:val="22"/>
          <w:lang w:eastAsia="zh-CN"/>
        </w:rPr>
      </w:pPr>
      <w:r>
        <w:rPr>
          <w:rFonts w:hint="eastAsia" w:ascii="仿宋" w:hAnsi="仿宋" w:eastAsia="仿宋" w:cs="仿宋"/>
          <w:color w:val="auto"/>
          <w:spacing w:val="-5"/>
          <w:sz w:val="28"/>
          <w:szCs w:val="28"/>
          <w:lang w:eastAsia="zh-CN"/>
        </w:rPr>
        <w:br w:type="page"/>
      </w:r>
      <w:r>
        <w:rPr>
          <w:rFonts w:hint="eastAsia" w:ascii="黑体" w:hAnsi="黑体" w:eastAsia="黑体" w:cs="黑体"/>
          <w:color w:val="auto"/>
          <w:spacing w:val="2"/>
          <w:szCs w:val="22"/>
          <w:lang w:eastAsia="zh-CN"/>
        </w:rPr>
        <w:t>附件</w:t>
      </w:r>
      <w:r>
        <w:rPr>
          <w:rFonts w:hint="eastAsia" w:ascii="黑体" w:hAnsi="黑体" w:eastAsia="黑体" w:cs="黑体"/>
          <w:color w:val="auto"/>
          <w:spacing w:val="-2"/>
          <w:szCs w:val="22"/>
          <w:lang w:eastAsia="zh-CN"/>
        </w:rPr>
        <w:t xml:space="preserve"> </w:t>
      </w:r>
      <w:r>
        <w:rPr>
          <w:rFonts w:hint="eastAsia" w:ascii="黑体" w:hAnsi="黑体" w:eastAsia="黑体" w:cs="黑体"/>
          <w:color w:val="auto"/>
          <w:spacing w:val="2"/>
          <w:szCs w:val="22"/>
          <w:lang w:eastAsia="zh-CN"/>
        </w:rPr>
        <w:t>1:</w:t>
      </w:r>
    </w:p>
    <w:p>
      <w:pPr>
        <w:spacing w:before="444" w:after="240" w:afterLines="100"/>
        <w:jc w:val="center"/>
        <w:rPr>
          <w:rFonts w:hint="eastAsia" w:ascii="黑体" w:hAnsi="黑体" w:eastAsia="黑体" w:cs="黑体"/>
          <w:color w:val="auto"/>
          <w:sz w:val="30"/>
          <w:szCs w:val="22"/>
          <w:lang w:eastAsia="zh-CN"/>
        </w:rPr>
      </w:pPr>
      <w:r>
        <w:rPr>
          <w:rFonts w:hint="eastAsia" w:ascii="黑体" w:hAnsi="黑体" w:eastAsia="黑体" w:cs="黑体"/>
          <w:color w:val="auto"/>
          <w:sz w:val="30"/>
          <w:szCs w:val="22"/>
          <w:lang w:val="en-US" w:eastAsia="zh-CN"/>
        </w:rPr>
        <w:t>生命科学与健康</w:t>
      </w:r>
      <w:r>
        <w:rPr>
          <w:rFonts w:hint="eastAsia" w:ascii="黑体" w:hAnsi="黑体" w:eastAsia="黑体" w:cs="黑体"/>
          <w:color w:val="auto"/>
          <w:sz w:val="30"/>
          <w:szCs w:val="22"/>
          <w:lang w:eastAsia="zh-CN"/>
        </w:rPr>
        <w:t>学院研究生学业奖学金评选实施细则</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val="en-US" w:eastAsia="zh-CN"/>
        </w:rPr>
        <w:t>生命科学与健康</w:t>
      </w:r>
      <w:r>
        <w:rPr>
          <w:rFonts w:hint="eastAsia" w:ascii="仿宋" w:hAnsi="仿宋" w:eastAsia="仿宋" w:cs="仿宋"/>
          <w:color w:val="auto"/>
          <w:spacing w:val="1"/>
          <w:sz w:val="28"/>
          <w:szCs w:val="28"/>
          <w:lang w:eastAsia="zh-CN"/>
        </w:rPr>
        <w:t>学院研究生学业奖学金评选实施细则根据《武汉科技大学研究生奖助体系实施办法》（武科大研发〔202</w:t>
      </w:r>
      <w:r>
        <w:rPr>
          <w:rFonts w:hint="eastAsia" w:ascii="仿宋" w:hAnsi="仿宋" w:eastAsia="仿宋" w:cs="仿宋"/>
          <w:color w:val="auto"/>
          <w:spacing w:val="1"/>
          <w:sz w:val="28"/>
          <w:szCs w:val="28"/>
          <w:lang w:val="en-US" w:eastAsia="zh-CN"/>
        </w:rPr>
        <w:t>2</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60</w:t>
      </w:r>
      <w:r>
        <w:rPr>
          <w:rFonts w:hint="eastAsia" w:ascii="仿宋" w:hAnsi="仿宋" w:eastAsia="仿宋" w:cs="仿宋"/>
          <w:color w:val="auto"/>
          <w:spacing w:val="1"/>
          <w:sz w:val="28"/>
          <w:szCs w:val="28"/>
          <w:lang w:eastAsia="zh-CN"/>
        </w:rPr>
        <w:t>号）文件精神并结合学院特点制订，报研究生院（党委研工部）备案并公示后实施。</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val="en-US" w:eastAsia="zh-CN"/>
        </w:rPr>
        <w:t>生命科学与健康学院</w:t>
      </w:r>
      <w:r>
        <w:rPr>
          <w:rFonts w:hint="eastAsia" w:ascii="仿宋" w:hAnsi="仿宋" w:eastAsia="仿宋" w:cs="仿宋"/>
          <w:color w:val="auto"/>
          <w:spacing w:val="1"/>
          <w:sz w:val="28"/>
          <w:szCs w:val="28"/>
          <w:lang w:eastAsia="zh-CN"/>
        </w:rPr>
        <w:t>研究生奖学金</w:t>
      </w:r>
      <w:r>
        <w:rPr>
          <w:rFonts w:hint="eastAsia" w:ascii="仿宋" w:hAnsi="仿宋" w:eastAsia="仿宋" w:cs="仿宋"/>
          <w:color w:val="auto"/>
          <w:spacing w:val="1"/>
          <w:sz w:val="28"/>
          <w:szCs w:val="28"/>
          <w:lang w:val="en-US" w:eastAsia="zh-CN"/>
        </w:rPr>
        <w:t>综合测评计分</w:t>
      </w:r>
      <w:r>
        <w:rPr>
          <w:rFonts w:hint="eastAsia" w:ascii="仿宋" w:hAnsi="仿宋" w:eastAsia="仿宋" w:cs="仿宋"/>
          <w:color w:val="auto"/>
          <w:spacing w:val="1"/>
          <w:sz w:val="28"/>
          <w:szCs w:val="28"/>
          <w:lang w:eastAsia="zh-CN"/>
        </w:rPr>
        <w:t>为：</w:t>
      </w:r>
      <w:r>
        <w:rPr>
          <w:rFonts w:hint="eastAsia" w:ascii="仿宋" w:hAnsi="仿宋" w:eastAsia="仿宋" w:cs="仿宋"/>
          <w:b/>
          <w:bCs/>
          <w:color w:val="auto"/>
          <w:spacing w:val="1"/>
          <w:sz w:val="28"/>
          <w:szCs w:val="28"/>
          <w:lang w:eastAsia="zh-CN"/>
        </w:rPr>
        <w:t>科研情况</w:t>
      </w:r>
      <w:r>
        <w:rPr>
          <w:rFonts w:hint="eastAsia" w:ascii="仿宋" w:hAnsi="仿宋" w:eastAsia="仿宋" w:cs="仿宋"/>
          <w:color w:val="auto"/>
          <w:spacing w:val="1"/>
          <w:sz w:val="28"/>
          <w:szCs w:val="28"/>
          <w:lang w:eastAsia="zh-CN"/>
        </w:rPr>
        <w:t>(科研获奖得分、专利、论文及著作、会议报告、创新创业立项、学科竞赛)，</w:t>
      </w:r>
      <w:r>
        <w:rPr>
          <w:rFonts w:hint="eastAsia" w:ascii="仿宋" w:hAnsi="仿宋" w:eastAsia="仿宋" w:cs="仿宋"/>
          <w:b/>
          <w:bCs/>
          <w:color w:val="auto"/>
          <w:spacing w:val="1"/>
          <w:sz w:val="28"/>
          <w:szCs w:val="28"/>
          <w:lang w:eastAsia="zh-CN"/>
        </w:rPr>
        <w:t>学习情况</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各类专业相关的</w:t>
      </w:r>
      <w:r>
        <w:rPr>
          <w:rFonts w:hint="eastAsia" w:ascii="仿宋" w:hAnsi="仿宋" w:eastAsia="仿宋" w:cs="仿宋"/>
          <w:color w:val="auto"/>
          <w:spacing w:val="1"/>
          <w:sz w:val="28"/>
          <w:szCs w:val="28"/>
          <w:lang w:eastAsia="zh-CN"/>
        </w:rPr>
        <w:t>社会考试），</w:t>
      </w:r>
      <w:r>
        <w:rPr>
          <w:rFonts w:hint="eastAsia" w:ascii="仿宋" w:hAnsi="仿宋" w:eastAsia="仿宋" w:cs="仿宋"/>
          <w:b/>
          <w:bCs/>
          <w:color w:val="auto"/>
          <w:spacing w:val="1"/>
          <w:sz w:val="28"/>
          <w:szCs w:val="28"/>
          <w:lang w:eastAsia="zh-CN"/>
        </w:rPr>
        <w:t>综合表现</w:t>
      </w:r>
      <w:r>
        <w:rPr>
          <w:rFonts w:hint="eastAsia" w:ascii="仿宋" w:hAnsi="仿宋" w:eastAsia="仿宋" w:cs="仿宋"/>
          <w:color w:val="auto"/>
          <w:spacing w:val="1"/>
          <w:sz w:val="28"/>
          <w:szCs w:val="28"/>
          <w:lang w:eastAsia="zh-CN"/>
        </w:rPr>
        <w:t>（社会工作、荣誉表彰、日常表现）合计得分。</w:t>
      </w:r>
    </w:p>
    <w:p>
      <w:pPr>
        <w:spacing w:before="120" w:beforeLines="50" w:after="120" w:afterLines="50"/>
        <w:rPr>
          <w:rFonts w:hint="eastAsia" w:asciiTheme="majorEastAsia" w:hAnsiTheme="majorEastAsia" w:eastAsiaTheme="majorEastAsia" w:cstheme="majorEastAsia"/>
          <w:b/>
          <w:bCs/>
          <w:color w:val="auto"/>
          <w:sz w:val="30"/>
          <w:szCs w:val="22"/>
          <w:lang w:eastAsia="zh-CN"/>
        </w:rPr>
      </w:pPr>
      <w:r>
        <w:rPr>
          <w:rFonts w:hint="eastAsia" w:asciiTheme="majorEastAsia" w:hAnsiTheme="majorEastAsia" w:eastAsiaTheme="majorEastAsia" w:cstheme="majorEastAsia"/>
          <w:b/>
          <w:bCs/>
          <w:color w:val="auto"/>
          <w:spacing w:val="1"/>
          <w:sz w:val="30"/>
          <w:szCs w:val="22"/>
          <w:lang w:eastAsia="zh-CN"/>
        </w:rPr>
        <w:t>一、科研工作计分</w:t>
      </w:r>
    </w:p>
    <w:p>
      <w:pPr>
        <w:spacing w:before="120" w:beforeLines="50" w:after="120" w:afterLines="50"/>
        <w:ind w:left="602"/>
        <w:rPr>
          <w:rFonts w:hint="eastAsia" w:asciiTheme="majorEastAsia" w:hAnsiTheme="majorEastAsia" w:eastAsiaTheme="majorEastAsia" w:cstheme="majorEastAsia"/>
          <w:b/>
          <w:bCs/>
          <w:color w:val="auto"/>
          <w:spacing w:val="1"/>
          <w:sz w:val="28"/>
          <w:szCs w:val="28"/>
          <w:lang w:eastAsia="zh-CN"/>
        </w:rPr>
      </w:pPr>
      <w:r>
        <w:rPr>
          <w:rFonts w:hint="eastAsia" w:asciiTheme="majorEastAsia" w:hAnsiTheme="majorEastAsia" w:eastAsiaTheme="majorEastAsia" w:cstheme="majorEastAsia"/>
          <w:b/>
          <w:bCs/>
          <w:color w:val="auto"/>
          <w:spacing w:val="2"/>
          <w:sz w:val="28"/>
          <w:szCs w:val="28"/>
          <w:lang w:eastAsia="zh-CN"/>
        </w:rPr>
        <w:t>（</w:t>
      </w:r>
      <w:r>
        <w:rPr>
          <w:rFonts w:hint="eastAsia" w:asciiTheme="majorEastAsia" w:hAnsiTheme="majorEastAsia" w:eastAsiaTheme="majorEastAsia" w:cstheme="majorEastAsia"/>
          <w:b/>
          <w:bCs/>
          <w:color w:val="auto"/>
          <w:spacing w:val="1"/>
          <w:sz w:val="28"/>
          <w:szCs w:val="28"/>
          <w:lang w:eastAsia="zh-CN"/>
        </w:rPr>
        <w:t>1</w:t>
      </w: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pacing w:val="1"/>
          <w:sz w:val="28"/>
          <w:szCs w:val="28"/>
          <w:lang w:eastAsia="zh-CN"/>
        </w:rPr>
        <w:t>科研获奖计分标准</w:t>
      </w:r>
    </w:p>
    <w:tbl>
      <w:tblPr>
        <w:tblStyle w:val="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2268"/>
        <w:gridCol w:w="209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060"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类别</w:t>
            </w:r>
          </w:p>
        </w:tc>
        <w:tc>
          <w:tcPr>
            <w:tcW w:w="891"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等级</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作者排名排序</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计分（分/项）</w:t>
            </w:r>
          </w:p>
        </w:tc>
        <w:tc>
          <w:tcPr>
            <w:tcW w:w="2199"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060"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省（部）级科研成果获奖</w:t>
            </w:r>
          </w:p>
        </w:tc>
        <w:tc>
          <w:tcPr>
            <w:tcW w:w="891"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120</w:t>
            </w:r>
          </w:p>
        </w:tc>
        <w:tc>
          <w:tcPr>
            <w:tcW w:w="219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firstLine="242" w:firstLineChars="100"/>
              <w:jc w:val="both"/>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1．同一科研成果多次获奖，取最高分计，不累加</w:t>
            </w:r>
          </w:p>
          <w:p>
            <w:pPr>
              <w:keepNext w:val="0"/>
              <w:keepLines w:val="0"/>
              <w:pageBreakBefore w:val="0"/>
              <w:widowControl/>
              <w:kinsoku/>
              <w:wordWrap/>
              <w:overflowPunct/>
              <w:topLinePunct w:val="0"/>
              <w:autoSpaceDE/>
              <w:autoSpaceDN/>
              <w:bidi w:val="0"/>
              <w:adjustRightInd/>
              <w:snapToGrid/>
              <w:spacing w:line="240" w:lineRule="auto"/>
              <w:ind w:firstLine="242" w:firstLineChars="100"/>
              <w:jc w:val="both"/>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1"/>
                <w:sz w:val="24"/>
                <w:szCs w:val="24"/>
                <w:lang w:eastAsia="zh-CN"/>
              </w:rPr>
              <w:t>．国家级科研成果奖励参照省（部）级奖励计分乘2</w:t>
            </w:r>
          </w:p>
          <w:p>
            <w:pPr>
              <w:keepNext w:val="0"/>
              <w:keepLines w:val="0"/>
              <w:pageBreakBefore w:val="0"/>
              <w:widowControl/>
              <w:kinsoku/>
              <w:wordWrap/>
              <w:overflowPunct/>
              <w:topLinePunct w:val="0"/>
              <w:autoSpaceDE/>
              <w:autoSpaceDN/>
              <w:bidi w:val="0"/>
              <w:adjustRightInd/>
              <w:snapToGrid/>
              <w:spacing w:line="240" w:lineRule="auto"/>
              <w:ind w:firstLine="242" w:firstLineChars="100"/>
              <w:jc w:val="both"/>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3</w:t>
            </w:r>
            <w:r>
              <w:rPr>
                <w:rFonts w:hint="eastAsia" w:asciiTheme="minorEastAsia" w:hAnsiTheme="minorEastAsia" w:eastAsiaTheme="minorEastAsia" w:cstheme="minorEastAsia"/>
                <w:color w:val="auto"/>
                <w:spacing w:val="1"/>
                <w:sz w:val="24"/>
                <w:szCs w:val="24"/>
                <w:lang w:eastAsia="zh-CN"/>
              </w:rPr>
              <w:t>．市级及行业科研成果奖励参照省（部）级奖励计分乘0.7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2-4</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90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5-7</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70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7名以后</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二</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80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2-4</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60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5-7</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7名以后</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三</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2-4</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c>
          <w:tcPr>
            <w:tcW w:w="891"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5-7</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25</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bl>
    <w:p>
      <w:pPr>
        <w:spacing w:before="576" w:line="230" w:lineRule="exact"/>
        <w:ind w:left="4376"/>
        <w:rPr>
          <w:rFonts w:ascii="Calibri" w:hAnsi="Calibri"/>
          <w:color w:val="auto"/>
          <w:sz w:val="18"/>
          <w:szCs w:val="22"/>
        </w:rPr>
        <w:sectPr>
          <w:pgSz w:w="11900" w:h="16820"/>
          <w:pgMar w:top="1440" w:right="1800" w:bottom="1440" w:left="1800" w:header="720" w:footer="720" w:gutter="0"/>
          <w:pgNumType w:start="1"/>
          <w:cols w:space="720" w:num="1"/>
          <w:docGrid w:linePitch="326" w:charSpace="0"/>
        </w:sectPr>
      </w:pPr>
    </w:p>
    <w:p>
      <w:pPr>
        <w:spacing w:before="120" w:beforeLines="50" w:after="120" w:afterLines="50"/>
        <w:ind w:left="602"/>
        <w:rPr>
          <w:rFonts w:ascii="仿宋_GB2312" w:hAnsi="仿宋_GB2312" w:cs="仿宋_GB2312"/>
          <w:color w:val="auto"/>
          <w:spacing w:val="1"/>
          <w:sz w:val="28"/>
          <w:szCs w:val="22"/>
          <w:lang w:eastAsia="zh-CN"/>
        </w:rPr>
      </w:pPr>
      <w:bookmarkStart w:id="5" w:name="br1_9"/>
      <w:bookmarkEnd w:id="5"/>
      <w:r>
        <w:rPr>
          <w:rFonts w:hint="eastAsia" w:asciiTheme="majorEastAsia" w:hAnsiTheme="majorEastAsia" w:eastAsiaTheme="majorEastAsia" w:cstheme="majorEastAsia"/>
          <w:b/>
          <w:bCs/>
          <w:color w:val="auto"/>
          <w:spacing w:val="2"/>
          <w:sz w:val="28"/>
          <w:szCs w:val="28"/>
          <w:lang w:eastAsia="zh-CN"/>
        </w:rPr>
        <w:t>（2）专利、论文及著作计分标准</w:t>
      </w:r>
    </w:p>
    <w:tbl>
      <w:tblPr>
        <w:tblStyle w:val="3"/>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93"/>
        <w:gridCol w:w="3544"/>
        <w:gridCol w:w="756"/>
        <w:gridCol w:w="1359"/>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84" w:type="dxa"/>
            <w:noWrap/>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等级</w:t>
            </w:r>
          </w:p>
        </w:tc>
        <w:tc>
          <w:tcPr>
            <w:tcW w:w="3544" w:type="dxa"/>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w:t>
            </w:r>
          </w:p>
        </w:tc>
        <w:tc>
          <w:tcPr>
            <w:tcW w:w="2115" w:type="dxa"/>
            <w:gridSpan w:val="2"/>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计分（分/篇）</w:t>
            </w:r>
          </w:p>
        </w:tc>
        <w:tc>
          <w:tcPr>
            <w:tcW w:w="1518" w:type="dxa"/>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84" w:type="dxa"/>
            <w:vMerge w:val="restart"/>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科研论文类计分</w:t>
            </w: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T</w:t>
            </w: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在国际著名学术刊物（Science、Nature、Cell）发表的学术论文</w:t>
            </w:r>
          </w:p>
        </w:tc>
        <w:tc>
          <w:tcPr>
            <w:tcW w:w="2115" w:type="dxa"/>
            <w:gridSpan w:val="2"/>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直接认定</w:t>
            </w:r>
          </w:p>
        </w:tc>
        <w:tc>
          <w:tcPr>
            <w:tcW w:w="1518" w:type="dxa"/>
            <w:vMerge w:val="restart"/>
            <w:noWrap/>
            <w:vAlign w:val="center"/>
          </w:tcPr>
          <w:p>
            <w:pPr>
              <w:spacing w:line="291"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1．期刊分级标准参照《武汉科技大学学术期刊分级暂行规定的通知》执行。</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2．同一论文被不同刊物收录（转载），按最高级别计分，不累加</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3．若研究生为第二作者，其导师为第一作者，视研究生为第一作者。</w:t>
            </w:r>
            <w:r>
              <w:rPr>
                <w:rFonts w:hint="eastAsia" w:ascii="宋体" w:hAnsi="宋体" w:eastAsia="宋体" w:cs="宋体"/>
                <w:color w:val="auto"/>
                <w:sz w:val="21"/>
                <w:szCs w:val="21"/>
                <w:lang w:val="en-US" w:eastAsia="zh-CN"/>
              </w:rPr>
              <w:t>若研究生与教师共同第一作者，视研究生为第一作者。若多位研究生作者为共同第一作者的，按照6/4（两个学生前后排序）、4/3/3（三个学生前后排序）比例加分，共一超过4人则前三人按比例加分，排序第4及以后不加分。</w:t>
            </w:r>
            <w:r>
              <w:rPr>
                <w:rFonts w:hint="eastAsia" w:ascii="宋体" w:hAnsi="宋体" w:eastAsia="宋体" w:cs="宋体"/>
                <w:color w:val="auto"/>
                <w:sz w:val="21"/>
                <w:szCs w:val="21"/>
                <w:lang w:eastAsia="zh-CN"/>
              </w:rPr>
              <w:t>但此类论文最多计2篇，第2篇按照得分的50%计分</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4．B类期刊原则上最多计3篇。C类期刊最多计1篇</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5．同一篇文章按论文等级和分区统筹考虑，以最高分计，不累加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restart"/>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w:t>
            </w: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A1系列：位列中科院SCI、SSCI分区1区的期刊</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1359" w:type="dxa"/>
            <w:vMerge w:val="restart"/>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位列科睿唯安JCR分区1区期刊</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lang w:eastAsia="zh-CN"/>
              </w:rPr>
              <w:t>分/篇、2区的期刊</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0分/篇、3区的期刊</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0分/篇、4区的期刊</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0分/篇</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A2系列：位列中科院SCI、SSCI分区2区的期刊</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w:t>
            </w:r>
          </w:p>
        </w:tc>
        <w:tc>
          <w:tcPr>
            <w:tcW w:w="1359"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3系列：位列中科院SCI、SSCI分区3区的期刊；中文期刊中自然科学列前5%期刊；《人民日报》（理论版）、《光明日报》（理论版）、《经济日报》（理论版）、《新华文摘》（全文转载）；人文社会科学类以《中文社会科学引文索引》（CSSCI）各学科排序前7.5%的期刊</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1359"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B</w:t>
            </w: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位列</w:t>
            </w:r>
            <w:r>
              <w:rPr>
                <w:rFonts w:hint="eastAsia" w:ascii="宋体" w:hAnsi="宋体" w:eastAsia="宋体" w:cs="宋体"/>
                <w:color w:val="auto"/>
                <w:sz w:val="21"/>
                <w:szCs w:val="21"/>
                <w:highlight w:val="none"/>
                <w:lang w:eastAsia="zh-CN"/>
              </w:rPr>
              <w:t>中科院</w:t>
            </w:r>
            <w:r>
              <w:rPr>
                <w:rFonts w:hint="eastAsia" w:ascii="宋体" w:hAnsi="宋体" w:eastAsia="宋体" w:cs="宋体"/>
                <w:color w:val="auto"/>
                <w:sz w:val="21"/>
                <w:szCs w:val="21"/>
                <w:lang w:eastAsia="zh-CN"/>
              </w:rPr>
              <w:t>SCI、SSCI分区4区的期刊、</w:t>
            </w:r>
            <w:r>
              <w:rPr>
                <w:rFonts w:hint="eastAsia" w:ascii="宋体" w:hAnsi="宋体" w:eastAsia="宋体" w:cs="宋体"/>
                <w:color w:val="auto"/>
                <w:sz w:val="21"/>
                <w:szCs w:val="21"/>
                <w:lang w:val="en-US" w:eastAsia="zh-CN"/>
              </w:rPr>
              <w:t>中文核心B类、EI期刊论文</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359"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C</w:t>
            </w: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中文核心</w:t>
            </w:r>
            <w:r>
              <w:rPr>
                <w:rFonts w:hint="eastAsia" w:ascii="宋体" w:hAnsi="宋体" w:eastAsia="宋体" w:cs="宋体"/>
                <w:color w:val="auto"/>
                <w:sz w:val="21"/>
                <w:szCs w:val="21"/>
                <w:lang w:eastAsia="zh-CN"/>
              </w:rPr>
              <w:t>C类、</w:t>
            </w:r>
            <w:r>
              <w:rPr>
                <w:rFonts w:hint="eastAsia" w:ascii="宋体" w:hAnsi="宋体" w:eastAsia="宋体" w:cs="宋体"/>
                <w:color w:val="auto"/>
                <w:sz w:val="21"/>
                <w:szCs w:val="21"/>
                <w:lang w:val="en-US" w:eastAsia="zh-CN"/>
              </w:rPr>
              <w:t>被MEDLINE收录、EI会议论文</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restart"/>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学术会议</w:t>
            </w: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在国际性学术会议上宣读并被CPCI收录的论文，收录于国际学术会议论文集，且该论文集前三年被EI检索的论文</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val="en-US" w:eastAsia="zh-CN"/>
              </w:rPr>
            </w:pP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全国性会议</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val="en-US" w:eastAsia="zh-CN"/>
              </w:rPr>
            </w:pP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省、校级学术论坛</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val="en-US" w:eastAsia="zh-CN"/>
              </w:rPr>
            </w:pP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院级学术论坛</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w:t>
            </w: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参加</w:t>
            </w:r>
            <w:r>
              <w:rPr>
                <w:rFonts w:hint="eastAsia" w:ascii="宋体" w:hAnsi="宋体" w:eastAsia="宋体" w:cs="宋体"/>
                <w:color w:val="auto"/>
                <w:sz w:val="21"/>
                <w:szCs w:val="21"/>
                <w:lang w:val="en-US" w:eastAsia="zh-CN"/>
              </w:rPr>
              <w:t>与专业相关的</w:t>
            </w:r>
            <w:r>
              <w:rPr>
                <w:rFonts w:hint="eastAsia" w:ascii="宋体" w:hAnsi="宋体" w:eastAsia="宋体" w:cs="宋体"/>
                <w:color w:val="auto"/>
                <w:sz w:val="21"/>
                <w:szCs w:val="21"/>
                <w:lang w:eastAsia="zh-CN"/>
              </w:rPr>
              <w:t>编著、翻译学术著作</w:t>
            </w:r>
            <w:r>
              <w:rPr>
                <w:rFonts w:hint="eastAsia" w:ascii="宋体" w:hAnsi="宋体" w:eastAsia="宋体" w:cs="宋体"/>
                <w:color w:val="auto"/>
                <w:sz w:val="21"/>
                <w:szCs w:val="21"/>
                <w:lang w:val="en-US" w:eastAsia="zh-CN"/>
              </w:rPr>
              <w:t>达</w:t>
            </w:r>
            <w:r>
              <w:rPr>
                <w:rFonts w:hint="eastAsia" w:ascii="宋体" w:hAnsi="宋体" w:eastAsia="宋体" w:cs="宋体"/>
                <w:color w:val="auto"/>
                <w:sz w:val="21"/>
                <w:szCs w:val="21"/>
                <w:lang w:eastAsia="zh-CN"/>
              </w:rPr>
              <w:t>2万字以上</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84" w:type="dxa"/>
            <w:vMerge w:val="restart"/>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专利类和软件著作权计分</w:t>
            </w: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类别</w:t>
            </w:r>
          </w:p>
        </w:tc>
        <w:tc>
          <w:tcPr>
            <w:tcW w:w="3544"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申报状态</w:t>
            </w:r>
          </w:p>
        </w:tc>
        <w:tc>
          <w:tcPr>
            <w:tcW w:w="2115" w:type="dxa"/>
            <w:gridSpan w:val="2"/>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计分（分/项）</w:t>
            </w:r>
          </w:p>
        </w:tc>
        <w:tc>
          <w:tcPr>
            <w:tcW w:w="1518" w:type="dxa"/>
            <w:vMerge w:val="restart"/>
            <w:noWrap/>
            <w:vAlign w:val="center"/>
          </w:tcPr>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1．获国家发明专利成果应有专利证书（或专利授权号），若该专利获得其他科研奖励者，以最高分计，不累加</w:t>
            </w:r>
          </w:p>
          <w:p>
            <w:pPr>
              <w:numPr>
                <w:ilvl w:val="0"/>
                <w:numId w:val="2"/>
              </w:num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以名称相同或相近的项目申报实用新型专利授权和发明专利受理的加分只可取其中一项加分。</w:t>
            </w:r>
          </w:p>
          <w:p>
            <w:pPr>
              <w:numPr>
                <w:ilvl w:val="0"/>
                <w:numId w:val="2"/>
              </w:num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发明专利授权每项最多可计 </w:t>
            </w:r>
            <w:r>
              <w:rPr>
                <w:rFonts w:hint="eastAsia" w:ascii="宋体" w:hAnsi="宋体" w:eastAsia="宋体" w:cs="宋体"/>
                <w:color w:val="auto"/>
                <w:sz w:val="21"/>
                <w:szCs w:val="21"/>
                <w:lang w:val="en-US" w:eastAsia="zh-CN"/>
              </w:rPr>
              <w:t>40分</w:t>
            </w:r>
            <w:r>
              <w:rPr>
                <w:rFonts w:hint="eastAsia" w:ascii="宋体" w:hAnsi="宋体" w:eastAsia="宋体" w:cs="宋体"/>
                <w:color w:val="auto"/>
                <w:sz w:val="21"/>
                <w:szCs w:val="21"/>
                <w:lang w:eastAsia="zh-CN"/>
              </w:rPr>
              <w:t>，不可重复计分。</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发明专利最多计5项，其他专利等最多计算2项。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384"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993" w:type="dxa"/>
            <w:vMerge w:val="restart"/>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发明专利</w:t>
            </w:r>
          </w:p>
        </w:tc>
        <w:tc>
          <w:tcPr>
            <w:tcW w:w="3544"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1518" w:type="dxa"/>
            <w:vMerge w:val="continue"/>
            <w:noWrap/>
            <w:vAlign w:val="center"/>
          </w:tcPr>
          <w:p>
            <w:pPr>
              <w:spacing w:line="291" w:lineRule="exact"/>
              <w:ind w:left="638"/>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384"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3544"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受理</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18" w:type="dxa"/>
            <w:vMerge w:val="continue"/>
            <w:noWrap/>
            <w:vAlign w:val="center"/>
          </w:tcPr>
          <w:p>
            <w:pPr>
              <w:spacing w:line="291" w:lineRule="exact"/>
              <w:ind w:left="638"/>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384"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实用新型专利、外观设计专利授权、软件著作权</w:t>
            </w:r>
          </w:p>
        </w:tc>
        <w:tc>
          <w:tcPr>
            <w:tcW w:w="3544"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排序第一作者计</w:t>
            </w:r>
            <w:r>
              <w:rPr>
                <w:rFonts w:hint="eastAsia" w:ascii="宋体" w:hAnsi="宋体" w:eastAsia="宋体" w:cs="宋体"/>
                <w:color w:val="auto"/>
                <w:sz w:val="21"/>
                <w:szCs w:val="21"/>
                <w:lang w:val="en-US" w:eastAsia="zh-CN"/>
              </w:rPr>
              <w:t>6</w:t>
            </w:r>
          </w:p>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排序第二作者计3</w:t>
            </w:r>
          </w:p>
        </w:tc>
        <w:tc>
          <w:tcPr>
            <w:tcW w:w="1518" w:type="dxa"/>
            <w:vMerge w:val="continue"/>
            <w:noWrap/>
            <w:vAlign w:val="center"/>
          </w:tcPr>
          <w:p>
            <w:pPr>
              <w:spacing w:line="291" w:lineRule="exact"/>
              <w:ind w:left="638"/>
              <w:jc w:val="center"/>
              <w:rPr>
                <w:rFonts w:hint="eastAsia" w:ascii="宋体" w:hAnsi="宋体" w:eastAsia="宋体" w:cs="宋体"/>
                <w:color w:val="auto"/>
                <w:sz w:val="24"/>
                <w:szCs w:val="24"/>
                <w:lang w:eastAsia="zh-CN"/>
              </w:rPr>
            </w:pPr>
          </w:p>
        </w:tc>
      </w:tr>
    </w:tbl>
    <w:p>
      <w:bookmarkStart w:id="6" w:name="br1_10"/>
      <w:bookmarkEnd w:id="6"/>
      <w:bookmarkStart w:id="7" w:name="br1_11"/>
      <w:bookmarkEnd w:id="7"/>
    </w:p>
    <w:p/>
    <w:tbl>
      <w:tblPr>
        <w:tblStyle w:val="3"/>
        <w:tblpPr w:leftFromText="180" w:rightFromText="180" w:vertAnchor="text" w:tblpX="10208" w:tblpY="-6502"/>
        <w:tblOverlap w:val="never"/>
        <w:tblW w:w="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90" w:type="dxa"/>
          </w:tcPr>
          <w:p>
            <w:pPr>
              <w:keepNext w:val="0"/>
              <w:keepLines w:val="0"/>
              <w:pageBreakBefore w:val="0"/>
              <w:widowControl/>
              <w:kinsoku/>
              <w:wordWrap/>
              <w:overflowPunct/>
              <w:topLinePunct w:val="0"/>
              <w:autoSpaceDE/>
              <w:autoSpaceDN/>
              <w:bidi w:val="0"/>
              <w:adjustRightInd/>
              <w:snapToGrid/>
              <w:spacing w:after="240" w:afterLines="100" w:line="300" w:lineRule="auto"/>
              <w:jc w:val="both"/>
              <w:textAlignment w:val="auto"/>
              <w:rPr>
                <w:rFonts w:hint="eastAsia" w:ascii="仿宋" w:hAnsi="仿宋" w:eastAsia="仿宋" w:cs="仿宋"/>
                <w:color w:val="auto"/>
                <w:spacing w:val="1"/>
                <w:sz w:val="28"/>
                <w:szCs w:val="28"/>
                <w:vertAlign w:val="baseline"/>
                <w:lang w:eastAsia="zh-CN"/>
              </w:rPr>
            </w:pPr>
          </w:p>
        </w:tc>
      </w:tr>
    </w:tbl>
    <w:p>
      <w:pPr>
        <w:keepNext w:val="0"/>
        <w:keepLines w:val="0"/>
        <w:pageBreakBefore w:val="0"/>
        <w:widowControl/>
        <w:kinsoku/>
        <w:wordWrap/>
        <w:overflowPunct/>
        <w:topLinePunct w:val="0"/>
        <w:autoSpaceDE/>
        <w:autoSpaceDN/>
        <w:bidi w:val="0"/>
        <w:adjustRightInd/>
        <w:snapToGrid/>
        <w:spacing w:after="240" w:afterLines="100" w:line="300" w:lineRule="auto"/>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注：</w:t>
      </w:r>
      <w:r>
        <w:rPr>
          <w:rFonts w:hint="eastAsia" w:ascii="仿宋" w:hAnsi="仿宋" w:eastAsia="仿宋" w:cs="仿宋"/>
          <w:color w:val="auto"/>
          <w:spacing w:val="1"/>
          <w:sz w:val="28"/>
          <w:szCs w:val="28"/>
          <w:lang w:val="en-US" w:eastAsia="zh-CN"/>
        </w:rPr>
        <w:t>1</w:t>
      </w:r>
      <w:r>
        <w:rPr>
          <w:rFonts w:hint="eastAsia" w:ascii="仿宋" w:hAnsi="仿宋" w:eastAsia="仿宋" w:cs="仿宋"/>
          <w:color w:val="auto"/>
          <w:spacing w:val="1"/>
          <w:sz w:val="28"/>
          <w:szCs w:val="28"/>
          <w:lang w:eastAsia="zh-CN"/>
        </w:rPr>
        <w:t>、博士研究生在读期间，发表在T类学术期刊上与其学位论文相关的论文（含录用）,可认定为所有共同第一作者的学术成果；发表在其他期刊上与学位论文相关的论文（含录用),仅认定排序第一的共同第一作者的学术成果。硕士研究生在读期间,发表在T类期刊上与其学位论文关的论文（含录用）,可认定为所有共同第一作者的学术成果；发表在A2类及以上期刊上与其学位论文相关的论文(含录用）可认定2名共同第一作者的学术成果；发表在A3类及以下期刊上与其学位论文相关的论文（含录用），仅认定排序第一的共同第一作者的学术成果。</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所有成果计分均应有证明材料证实，否则不得加分</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第一作者和评奖人单位应明确为武汉科技大学，否则不加分。</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val="en-US" w:eastAsia="zh-CN"/>
        </w:rPr>
        <w:t>3</w:t>
      </w:r>
      <w:r>
        <w:rPr>
          <w:rFonts w:hint="eastAsia" w:ascii="仿宋" w:hAnsi="仿宋" w:eastAsia="仿宋" w:cs="仿宋"/>
          <w:color w:val="auto"/>
          <w:spacing w:val="1"/>
          <w:sz w:val="28"/>
          <w:szCs w:val="28"/>
          <w:lang w:eastAsia="zh-CN"/>
        </w:rPr>
        <w:t>、成果优先级：同等级的文章，见刊成果优先于录用成果；论著成果优于综述类成果。</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w:t>
      </w:r>
      <w:r>
        <w:rPr>
          <w:rFonts w:hint="eastAsia" w:asciiTheme="majorEastAsia" w:hAnsiTheme="majorEastAsia" w:eastAsiaTheme="majorEastAsia" w:cstheme="majorEastAsia"/>
          <w:b/>
          <w:bCs/>
          <w:color w:val="auto"/>
          <w:spacing w:val="2"/>
          <w:sz w:val="28"/>
          <w:szCs w:val="28"/>
          <w:lang w:val="en-US" w:eastAsia="zh-CN"/>
        </w:rPr>
        <w:t>3</w:t>
      </w:r>
      <w:r>
        <w:rPr>
          <w:rFonts w:hint="eastAsia" w:asciiTheme="majorEastAsia" w:hAnsiTheme="majorEastAsia" w:eastAsiaTheme="majorEastAsia" w:cstheme="majorEastAsia"/>
          <w:b/>
          <w:bCs/>
          <w:color w:val="auto"/>
          <w:spacing w:val="2"/>
          <w:sz w:val="28"/>
          <w:szCs w:val="28"/>
          <w:lang w:eastAsia="zh-CN"/>
        </w:rPr>
        <w:t>）创新创业工程项目</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ascii="仿宋_GB2312" w:hAnsi="Calibri"/>
          <w:color w:val="auto"/>
          <w:sz w:val="28"/>
          <w:szCs w:val="22"/>
          <w:lang w:eastAsia="zh-CN"/>
        </w:rPr>
      </w:pPr>
      <w:r>
        <w:rPr>
          <w:rFonts w:hint="eastAsia" w:ascii="仿宋" w:hAnsi="仿宋" w:eastAsia="仿宋" w:cs="仿宋"/>
          <w:color w:val="auto"/>
          <w:spacing w:val="1"/>
          <w:sz w:val="28"/>
          <w:szCs w:val="28"/>
          <w:lang w:val="en-US" w:eastAsia="zh-CN"/>
        </w:rPr>
        <w:t>生命科学与健康学院</w:t>
      </w:r>
      <w:r>
        <w:rPr>
          <w:rFonts w:hint="eastAsia" w:ascii="仿宋" w:hAnsi="仿宋" w:eastAsia="仿宋" w:cs="仿宋"/>
          <w:color w:val="auto"/>
          <w:spacing w:val="1"/>
          <w:sz w:val="28"/>
          <w:szCs w:val="28"/>
          <w:lang w:eastAsia="zh-CN"/>
        </w:rPr>
        <w:t>研究生创新创业基金项目申请书，获得校级立项校级资助2分，获得省级立项省级资助的获12分，参评者立项需为第一申请人。</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ind w:left="601"/>
        <w:textAlignment w:val="auto"/>
        <w:rPr>
          <w:rFonts w:hint="eastAsia" w:asciiTheme="majorEastAsia" w:hAnsiTheme="majorEastAsia" w:eastAsiaTheme="majorEastAsia" w:cstheme="majorEastAsia"/>
          <w:b/>
          <w:bCs/>
          <w:color w:val="auto"/>
          <w:spacing w:val="2"/>
          <w:sz w:val="28"/>
          <w:szCs w:val="28"/>
          <w:highlight w:val="none"/>
          <w:lang w:eastAsia="zh-CN"/>
        </w:rPr>
      </w:pPr>
      <w:bookmarkStart w:id="8" w:name="br1_12"/>
      <w:bookmarkEnd w:id="8"/>
      <w:r>
        <w:rPr>
          <w:rFonts w:hint="eastAsia" w:asciiTheme="majorEastAsia" w:hAnsiTheme="majorEastAsia" w:eastAsiaTheme="majorEastAsia" w:cstheme="majorEastAsia"/>
          <w:b/>
          <w:bCs/>
          <w:color w:val="auto"/>
          <w:spacing w:val="2"/>
          <w:sz w:val="28"/>
          <w:szCs w:val="28"/>
          <w:lang w:eastAsia="zh-CN"/>
        </w:rPr>
        <w:t>（</w:t>
      </w:r>
      <w:r>
        <w:rPr>
          <w:rFonts w:hint="eastAsia" w:asciiTheme="majorEastAsia" w:hAnsiTheme="majorEastAsia" w:eastAsiaTheme="majorEastAsia" w:cstheme="majorEastAsia"/>
          <w:b/>
          <w:bCs/>
          <w:color w:val="auto"/>
          <w:spacing w:val="2"/>
          <w:sz w:val="28"/>
          <w:szCs w:val="28"/>
          <w:lang w:val="en-US" w:eastAsia="zh-CN"/>
        </w:rPr>
        <w:t>4）</w:t>
      </w:r>
      <w:r>
        <w:rPr>
          <w:rFonts w:hint="eastAsia" w:asciiTheme="majorEastAsia" w:hAnsiTheme="majorEastAsia" w:eastAsiaTheme="majorEastAsia" w:cstheme="majorEastAsia"/>
          <w:b/>
          <w:bCs/>
          <w:color w:val="auto"/>
          <w:spacing w:val="2"/>
          <w:sz w:val="28"/>
          <w:szCs w:val="28"/>
          <w:highlight w:val="none"/>
          <w:lang w:eastAsia="zh-CN"/>
        </w:rPr>
        <w:t>学科竞赛（参加学术科技竞赛获奖计分标准）</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根据竞赛所涉及的学科专业、规模、在国内外的影响力、举办历史等情况，为规范管理，将竞赛分为四大类。</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A 类</w:t>
      </w:r>
      <w:r>
        <w:rPr>
          <w:rFonts w:hint="eastAsia" w:eastAsia="仿宋_GB2312"/>
          <w:sz w:val="30"/>
          <w:szCs w:val="30"/>
          <w:lang w:eastAsia="zh-CN"/>
        </w:rPr>
        <w:t>：</w:t>
      </w:r>
      <w:r>
        <w:rPr>
          <w:rFonts w:hint="eastAsia" w:ascii="Times New Roman" w:hAnsi="Times New Roman" w:eastAsia="仿宋_GB2312"/>
          <w:sz w:val="30"/>
          <w:szCs w:val="30"/>
        </w:rPr>
        <w:t>分为A1和A2两个档次。A1类为教育部和共青团中央牵头主办的综合性竞赛；A2类为教育部主办的基础性综合类竞赛；</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B 类：分为B1和B2两个档次。B1类包括未纳入A 类的中国高等教育学会认定的重要学科竞赛和有重大影响的国际竞赛；B2 类包括未纳入A类和B1类，但为教育部和国家其他有关政府部门、专业教学指导委员会、全国一级学会等主办的、有重要影响力的国际或全国性竞赛；</w:t>
      </w:r>
    </w:p>
    <w:p>
      <w:pPr>
        <w:spacing w:line="300" w:lineRule="auto"/>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C 类：全国非一级学会（协会）等主办的竞赛；</w:t>
      </w:r>
    </w:p>
    <w:p>
      <w:pPr>
        <w:spacing w:line="300" w:lineRule="auto"/>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D 类：由省级行政部门、省级行业（企业）、学会（协会）等</w:t>
      </w:r>
      <w:r>
        <w:rPr>
          <w:rFonts w:hint="eastAsia" w:eastAsia="仿宋_GB2312"/>
          <w:sz w:val="30"/>
          <w:szCs w:val="30"/>
          <w:lang w:val="en-US" w:eastAsia="zh-CN"/>
        </w:rPr>
        <w:t>主</w:t>
      </w:r>
      <w:r>
        <w:rPr>
          <w:rFonts w:hint="eastAsia" w:ascii="Times New Roman" w:hAnsi="Times New Roman" w:eastAsia="仿宋_GB2312"/>
          <w:sz w:val="30"/>
          <w:szCs w:val="30"/>
        </w:rPr>
        <w:t>办的最高级别为跨省级或省级的竞赛；</w:t>
      </w:r>
    </w:p>
    <w:p>
      <w:pPr>
        <w:spacing w:line="300" w:lineRule="auto"/>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E 类：由市区级行政部门、市区级行业（企业）、学会（协会</w:t>
      </w:r>
      <w:r>
        <w:rPr>
          <w:rFonts w:hint="eastAsia" w:eastAsia="仿宋_GB2312"/>
          <w:sz w:val="30"/>
          <w:szCs w:val="30"/>
          <w:lang w:eastAsia="zh-CN"/>
        </w:rPr>
        <w:t>）</w:t>
      </w:r>
      <w:r>
        <w:rPr>
          <w:rFonts w:hint="eastAsia" w:ascii="Times New Roman" w:hAnsi="Times New Roman" w:eastAsia="仿宋_GB2312"/>
          <w:sz w:val="30"/>
          <w:szCs w:val="30"/>
        </w:rPr>
        <w:t>等主办的最高级别为市区级的竞赛；学校有关部门和学院主办的全校性竞赛；</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F 类：由学院主办的最高级别为院级的竞赛。</w:t>
      </w:r>
    </w:p>
    <w:p>
      <w:pPr>
        <w:keepNext w:val="0"/>
        <w:keepLines w:val="0"/>
        <w:pageBreakBefore w:val="0"/>
        <w:widowControl w:val="0"/>
        <w:kinsoku/>
        <w:wordWrap/>
        <w:overflowPunct/>
        <w:topLinePunct w:val="0"/>
        <w:autoSpaceDE/>
        <w:autoSpaceDN/>
        <w:bidi w:val="0"/>
        <w:adjustRightInd/>
        <w:snapToGrid/>
        <w:spacing w:beforeLines="0" w:afterLines="0"/>
        <w:ind w:firstLine="600" w:firstLineChars="200"/>
        <w:jc w:val="left"/>
        <w:textAlignment w:val="auto"/>
        <w:rPr>
          <w:rFonts w:ascii="Times New Roman" w:hAnsi="Times New Roman" w:eastAsia="仿宋_GB2312"/>
          <w:sz w:val="30"/>
          <w:szCs w:val="30"/>
        </w:rPr>
      </w:pPr>
      <w:r>
        <w:rPr>
          <w:rFonts w:hint="eastAsia" w:ascii="Times New Roman" w:hAnsi="Times New Roman" w:eastAsia="仿宋_GB2312"/>
          <w:sz w:val="30"/>
          <w:szCs w:val="30"/>
        </w:rPr>
        <w:t>竞赛项目分类目录见附件</w:t>
      </w:r>
      <w:r>
        <w:rPr>
          <w:rFonts w:hint="eastAsia" w:ascii="FangSong_GB2312" w:hAnsi="FangSong_GB2312" w:eastAsia="FangSong_GB2312"/>
          <w:sz w:val="30"/>
          <w:szCs w:val="24"/>
        </w:rPr>
        <w:t>《武汉科技大学学生学科和科技竞赛项目分类一览表》（</w:t>
      </w:r>
      <w:r>
        <w:rPr>
          <w:rFonts w:hint="eastAsia" w:ascii="TimesNewRomanPSMT" w:hAnsi="TimesNewRomanPSMT" w:eastAsia="TimesNewRomanPSMT"/>
          <w:sz w:val="30"/>
          <w:szCs w:val="24"/>
        </w:rPr>
        <w:t>E</w:t>
      </w:r>
      <w:r>
        <w:rPr>
          <w:rFonts w:hint="eastAsia" w:ascii="FangSong_GB2312" w:hAnsi="FangSong_GB2312" w:eastAsia="FangSong_GB2312"/>
          <w:sz w:val="30"/>
          <w:szCs w:val="24"/>
        </w:rPr>
        <w:t>类和</w:t>
      </w:r>
      <w:r>
        <w:rPr>
          <w:rFonts w:hint="eastAsia" w:ascii="TimesNewRomanPSMT" w:hAnsi="TimesNewRomanPSMT" w:eastAsia="TimesNewRomanPSMT"/>
          <w:sz w:val="30"/>
          <w:szCs w:val="24"/>
        </w:rPr>
        <w:t>F</w:t>
      </w:r>
      <w:r>
        <w:rPr>
          <w:rFonts w:hint="eastAsia" w:ascii="FangSong_GB2312" w:hAnsi="FangSong_GB2312" w:eastAsia="FangSong_GB2312"/>
          <w:sz w:val="30"/>
          <w:szCs w:val="24"/>
        </w:rPr>
        <w:t>类竞赛项目不列入</w:t>
      </w:r>
      <w:r>
        <w:rPr>
          <w:rFonts w:hint="eastAsia" w:ascii="FangSong_GB2312" w:hAnsi="FangSong_GB2312" w:eastAsia="FangSong_GB2312"/>
          <w:sz w:val="30"/>
          <w:szCs w:val="24"/>
          <w:lang w:eastAsia="zh-CN"/>
        </w:rPr>
        <w:t>，</w:t>
      </w:r>
      <w:r>
        <w:rPr>
          <w:rFonts w:hint="eastAsia" w:ascii="FangSong_GB2312" w:hAnsi="FangSong_GB2312" w:eastAsia="FangSong_GB2312"/>
          <w:sz w:val="30"/>
          <w:szCs w:val="24"/>
          <w:lang w:val="en-US" w:eastAsia="zh-CN"/>
        </w:rPr>
        <w:t>也不做计分</w:t>
      </w:r>
      <w:r>
        <w:rPr>
          <w:rFonts w:hint="eastAsia" w:ascii="FangSong_GB2312" w:hAnsi="FangSong_GB2312" w:eastAsia="FangSong_GB2312"/>
          <w:sz w:val="30"/>
          <w:szCs w:val="24"/>
        </w:rPr>
        <w:t>）。每年上半年根据上一年的实际竞赛情况参照竞赛分类标准对附表中的项目进行调整。</w:t>
      </w:r>
      <w:r>
        <w:rPr>
          <w:rFonts w:hint="eastAsia" w:ascii="Times New Roman" w:hAnsi="Times New Roman" w:eastAsia="仿宋_GB2312"/>
          <w:sz w:val="30"/>
          <w:szCs w:val="30"/>
        </w:rPr>
        <w:t>其他未列入附表的项目根据举办情况参照上述分类标准执行。具体加分细则如下：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700"/>
        <w:gridCol w:w="1524"/>
        <w:gridCol w:w="690"/>
        <w:gridCol w:w="1184"/>
        <w:gridCol w:w="67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竞赛类别</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竞赛级别</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获奖等级</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奖励分值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A类竞赛</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国家级</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A1类</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120分</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A2类</w:t>
            </w: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100分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8</w:t>
            </w:r>
            <w:r>
              <w:rPr>
                <w:rFonts w:hint="eastAsia" w:ascii="Times New Roman" w:hAnsi="Times New Roman" w:eastAsia="仿宋_GB2312"/>
                <w:sz w:val="24"/>
                <w:szCs w:val="24"/>
              </w:rPr>
              <w:t>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6</w:t>
            </w:r>
            <w:r>
              <w:rPr>
                <w:rFonts w:hint="eastAsia" w:ascii="Times New Roman" w:hAnsi="Times New Roman" w:eastAsia="仿宋_GB2312"/>
                <w:sz w:val="24"/>
                <w:szCs w:val="24"/>
              </w:rPr>
              <w:t>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省级</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6</w:t>
            </w:r>
            <w:r>
              <w:rPr>
                <w:rFonts w:hint="eastAsia" w:ascii="Times New Roman" w:hAnsi="Times New Roman" w:eastAsia="仿宋_GB2312"/>
                <w:sz w:val="24"/>
                <w:szCs w:val="24"/>
              </w:rPr>
              <w:t>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50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40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30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校级</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20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15</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参与但未获奖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团队负责人2分/其他成员1分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团队负责人</w:t>
            </w:r>
            <w:r>
              <w:rPr>
                <w:rFonts w:hint="eastAsia" w:eastAsia="仿宋_GB2312"/>
                <w:sz w:val="24"/>
                <w:szCs w:val="24"/>
                <w:lang w:val="en-US" w:eastAsia="zh-CN"/>
              </w:rPr>
              <w:t>1</w:t>
            </w:r>
            <w:r>
              <w:rPr>
                <w:rFonts w:hint="eastAsia" w:ascii="Times New Roman" w:hAnsi="Times New Roman" w:eastAsia="仿宋_GB2312"/>
                <w:sz w:val="24"/>
                <w:szCs w:val="24"/>
              </w:rPr>
              <w:t>分/其他成员</w:t>
            </w:r>
            <w:r>
              <w:rPr>
                <w:rFonts w:hint="eastAsia" w:eastAsia="仿宋_GB2312"/>
                <w:sz w:val="24"/>
                <w:szCs w:val="24"/>
                <w:lang w:val="en-US" w:eastAsia="zh-CN"/>
              </w:rPr>
              <w:t>0.5</w:t>
            </w:r>
            <w:r>
              <w:rPr>
                <w:rFonts w:hint="eastAsia" w:ascii="Times New Roman" w:hAnsi="Times New Roman" w:eastAsia="仿宋_GB231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B类竞赛</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国家级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B1类</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8</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B2类</w:t>
            </w: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6</w:t>
            </w:r>
            <w:r>
              <w:rPr>
                <w:rFonts w:hint="eastAsia" w:ascii="Times New Roman" w:hAnsi="Times New Roman" w:eastAsia="仿宋_GB2312"/>
                <w:sz w:val="24"/>
                <w:szCs w:val="24"/>
              </w:rPr>
              <w:t>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6</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4</w:t>
            </w:r>
            <w:r>
              <w:rPr>
                <w:rFonts w:hint="eastAsia" w:ascii="Times New Roman" w:hAnsi="Times New Roman" w:eastAsia="仿宋_GB2312"/>
                <w:sz w:val="24"/>
                <w:szCs w:val="24"/>
              </w:rPr>
              <w:t>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45分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3</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省级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3</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校级</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3</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6分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2</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3</w:t>
            </w:r>
            <w:r>
              <w:rPr>
                <w:rFonts w:hint="eastAsia" w:eastAsia="仿宋_GB2312"/>
                <w:sz w:val="24"/>
                <w:szCs w:val="24"/>
                <w:lang w:val="en-US" w:eastAsia="zh-CN"/>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1</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参与但未获奖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0.5分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C类或D类竞赛</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国家级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20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10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8</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6</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省级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6</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5</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4</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校级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1.5</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参与但未获奖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0.2分</w:t>
            </w:r>
          </w:p>
        </w:tc>
      </w:tr>
    </w:tbl>
    <w:p>
      <w:pPr>
        <w:spacing w:line="300" w:lineRule="auto"/>
        <w:jc w:val="left"/>
        <w:rPr>
          <w:rFonts w:hint="eastAsia" w:ascii="Times New Roman" w:hAnsi="Times New Roman" w:eastAsia="仿宋_GB2312"/>
          <w:sz w:val="28"/>
          <w:szCs w:val="28"/>
        </w:rPr>
      </w:pPr>
      <w:r>
        <w:rPr>
          <w:rFonts w:hint="eastAsia" w:ascii="Times New Roman" w:hAnsi="Times New Roman" w:eastAsia="仿宋_GB2312"/>
          <w:sz w:val="28"/>
          <w:szCs w:val="28"/>
        </w:rPr>
        <w:t>注：</w:t>
      </w:r>
    </w:p>
    <w:p>
      <w:pPr>
        <w:spacing w:line="300" w:lineRule="auto"/>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1．获奖的集体项目各成员的奖励分值计算公式：原标准*[1-10%（n-1）]（n为获奖证书上成员排序，且n</w:t>
      </w:r>
      <w:r>
        <w:rPr>
          <w:rFonts w:hint="default" w:ascii="Arial" w:hAnsi="Arial" w:eastAsia="仿宋_GB2312" w:cs="Arial"/>
          <w:sz w:val="28"/>
          <w:szCs w:val="28"/>
        </w:rPr>
        <w:t>≤</w:t>
      </w:r>
      <w:r>
        <w:rPr>
          <w:rFonts w:hint="eastAsia" w:ascii="Times New Roman" w:hAnsi="Times New Roman" w:eastAsia="仿宋_GB2312"/>
          <w:sz w:val="28"/>
          <w:szCs w:val="28"/>
          <w:lang w:val="en-US" w:eastAsia="zh-CN"/>
        </w:rPr>
        <w:t>10</w:t>
      </w:r>
      <w:r>
        <w:rPr>
          <w:rFonts w:hint="eastAsia" w:ascii="Times New Roman" w:hAnsi="Times New Roman" w:eastAsia="仿宋_GB2312"/>
          <w:sz w:val="28"/>
          <w:szCs w:val="28"/>
        </w:rPr>
        <w:t>），最低加分不得低于1分。原则上各个比赛的参赛人数都不得超过10人，若有特殊情况，则按照第10名进行加分。</w:t>
      </w:r>
      <w:r>
        <w:rPr>
          <w:rFonts w:hint="eastAsia" w:eastAsia="仿宋_GB2312"/>
          <w:sz w:val="28"/>
          <w:szCs w:val="28"/>
          <w:lang w:val="en-US" w:eastAsia="zh-CN"/>
        </w:rPr>
        <w:t>A1类赛事若有</w:t>
      </w:r>
      <w:r>
        <w:rPr>
          <w:rFonts w:hint="eastAsia" w:ascii="Times New Roman" w:hAnsi="Times New Roman" w:eastAsia="仿宋_GB2312"/>
          <w:sz w:val="28"/>
          <w:szCs w:val="28"/>
        </w:rPr>
        <w:t>校级优胜奖的</w:t>
      </w:r>
      <w:r>
        <w:rPr>
          <w:rFonts w:hint="eastAsia" w:eastAsia="仿宋_GB2312"/>
          <w:sz w:val="28"/>
          <w:szCs w:val="28"/>
          <w:lang w:eastAsia="zh-CN"/>
        </w:rPr>
        <w:t>，</w:t>
      </w:r>
      <w:r>
        <w:rPr>
          <w:rFonts w:hint="eastAsia" w:ascii="Times New Roman" w:hAnsi="Times New Roman" w:eastAsia="仿宋_GB2312"/>
          <w:sz w:val="28"/>
          <w:szCs w:val="28"/>
        </w:rPr>
        <w:t>按照5分的分值进行加分</w:t>
      </w:r>
      <w:r>
        <w:rPr>
          <w:rFonts w:hint="eastAsia" w:eastAsia="仿宋_GB2312"/>
          <w:sz w:val="28"/>
          <w:szCs w:val="28"/>
          <w:lang w:eastAsia="zh-CN"/>
        </w:rPr>
        <w:t>，</w:t>
      </w:r>
      <w:r>
        <w:rPr>
          <w:rFonts w:hint="eastAsia" w:eastAsia="仿宋_GB2312"/>
          <w:sz w:val="28"/>
          <w:szCs w:val="28"/>
          <w:lang w:val="en-US" w:eastAsia="zh-CN"/>
        </w:rPr>
        <w:t>加分计算公式同上，最低加分不得低于1分。</w:t>
      </w:r>
      <w:r>
        <w:rPr>
          <w:rFonts w:hint="eastAsia" w:ascii="Times New Roman" w:hAnsi="Times New Roman" w:eastAsia="仿宋_GB2312"/>
          <w:sz w:val="28"/>
          <w:szCs w:val="28"/>
        </w:rPr>
        <w:t xml:space="preserve">  </w:t>
      </w:r>
    </w:p>
    <w:p>
      <w:pPr>
        <w:spacing w:line="300" w:lineRule="auto"/>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2．国际级比赛的奖励分值按照国家级的奖励分值进行加分。</w:t>
      </w:r>
    </w:p>
    <w:p>
      <w:pPr>
        <w:keepNext w:val="0"/>
        <w:keepLines w:val="0"/>
        <w:pageBreakBefore w:val="0"/>
        <w:widowControl w:val="0"/>
        <w:kinsoku/>
        <w:wordWrap/>
        <w:overflowPunct/>
        <w:topLinePunct w:val="0"/>
        <w:autoSpaceDE/>
        <w:autoSpaceDN/>
        <w:bidi w:val="0"/>
        <w:adjustRightInd/>
        <w:snapToGrid/>
        <w:spacing w:after="157" w:afterLines="50" w:line="300" w:lineRule="auto"/>
        <w:ind w:firstLine="560" w:firstLineChars="200"/>
        <w:jc w:val="left"/>
        <w:textAlignment w:val="auto"/>
        <w:rPr>
          <w:rFonts w:ascii="Times New Roman" w:hAnsi="Times New Roman" w:eastAsia="仿宋_GB2312"/>
          <w:sz w:val="28"/>
          <w:szCs w:val="28"/>
        </w:rPr>
      </w:pPr>
      <w:r>
        <w:rPr>
          <w:rFonts w:hint="eastAsia" w:ascii="Times New Roman" w:hAnsi="Times New Roman" w:eastAsia="仿宋_GB2312"/>
          <w:sz w:val="28"/>
          <w:szCs w:val="28"/>
        </w:rPr>
        <w:t>3．同一比赛的同一项目按照获奖的最高等级进行加分，不得累计；参与但未获奖的累计加分该部分不得超过3分/人·学年（以比赛结束奖项公布的时间节点为依据，在评定学年内的即可加分）。</w:t>
      </w:r>
    </w:p>
    <w:p>
      <w:pPr>
        <w:keepNext w:val="0"/>
        <w:keepLines w:val="0"/>
        <w:pageBreakBefore w:val="0"/>
        <w:widowControl/>
        <w:kinsoku/>
        <w:wordWrap/>
        <w:overflowPunct/>
        <w:topLinePunct w:val="0"/>
        <w:autoSpaceDE/>
        <w:autoSpaceDN/>
        <w:bidi w:val="0"/>
        <w:adjustRightInd/>
        <w:snapToGrid/>
        <w:spacing w:after="240" w:afterLines="100" w:line="300" w:lineRule="auto"/>
        <w:jc w:val="both"/>
        <w:textAlignment w:val="auto"/>
        <w:rPr>
          <w:rFonts w:hint="eastAsia" w:ascii="仿宋" w:hAnsi="仿宋" w:eastAsia="仿宋" w:cs="仿宋"/>
          <w:color w:val="auto"/>
          <w:spacing w:val="1"/>
          <w:sz w:val="28"/>
          <w:szCs w:val="28"/>
          <w:lang w:eastAsia="zh-CN"/>
        </w:rPr>
      </w:pPr>
    </w:p>
    <w:p>
      <w:pPr>
        <w:spacing w:before="120" w:beforeLines="50" w:after="120" w:afterLines="50"/>
        <w:rPr>
          <w:rFonts w:hint="eastAsia" w:asciiTheme="majorEastAsia" w:hAnsiTheme="majorEastAsia" w:eastAsiaTheme="majorEastAsia" w:cstheme="majorEastAsia"/>
          <w:b/>
          <w:bCs/>
          <w:color w:val="auto"/>
          <w:spacing w:val="1"/>
          <w:sz w:val="30"/>
          <w:szCs w:val="22"/>
          <w:lang w:eastAsia="zh-CN"/>
        </w:rPr>
      </w:pPr>
      <w:r>
        <w:rPr>
          <w:rFonts w:hint="eastAsia" w:asciiTheme="majorEastAsia" w:hAnsiTheme="majorEastAsia" w:eastAsiaTheme="majorEastAsia" w:cstheme="majorEastAsia"/>
          <w:b/>
          <w:bCs/>
          <w:color w:val="auto"/>
          <w:spacing w:val="1"/>
          <w:sz w:val="30"/>
          <w:szCs w:val="22"/>
          <w:lang w:eastAsia="zh-CN"/>
        </w:rPr>
        <w:t>二、学习情况</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（1）学习成绩</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课程成绩是指包含学位课和非学位课在内的课程总成绩，计算加权成绩时结果取小数点后三位。成绩以研究生培养系统下载计分为准，单科不得挂科，作为参评标准，不计</w:t>
      </w:r>
      <w:r>
        <w:rPr>
          <w:rFonts w:hint="eastAsia" w:ascii="仿宋" w:hAnsi="仿宋" w:eastAsia="仿宋" w:cs="仿宋"/>
          <w:color w:val="auto"/>
          <w:spacing w:val="1"/>
          <w:sz w:val="28"/>
          <w:szCs w:val="28"/>
          <w:lang w:val="en-US" w:eastAsia="zh-CN"/>
        </w:rPr>
        <w:t>入综合测评</w:t>
      </w:r>
      <w:r>
        <w:rPr>
          <w:rFonts w:hint="eastAsia" w:ascii="仿宋" w:hAnsi="仿宋" w:eastAsia="仿宋" w:cs="仿宋"/>
          <w:color w:val="auto"/>
          <w:spacing w:val="1"/>
          <w:sz w:val="28"/>
          <w:szCs w:val="28"/>
          <w:lang w:eastAsia="zh-CN"/>
        </w:rPr>
        <w:t>分。</w:t>
      </w:r>
    </w:p>
    <w:p>
      <w:pPr>
        <w:spacing w:before="120" w:beforeLines="50" w:after="120" w:afterLines="50"/>
        <w:rPr>
          <w:rFonts w:hint="eastAsia" w:asciiTheme="majorEastAsia" w:hAnsiTheme="majorEastAsia" w:eastAsiaTheme="majorEastAsia" w:cstheme="majorEastAsia"/>
          <w:b/>
          <w:bCs/>
          <w:color w:val="auto"/>
          <w:spacing w:val="1"/>
          <w:sz w:val="30"/>
          <w:szCs w:val="22"/>
          <w:lang w:eastAsia="zh-CN"/>
        </w:rPr>
      </w:pPr>
      <w:r>
        <w:rPr>
          <w:rFonts w:hint="eastAsia" w:asciiTheme="majorEastAsia" w:hAnsiTheme="majorEastAsia" w:eastAsiaTheme="majorEastAsia" w:cstheme="majorEastAsia"/>
          <w:b/>
          <w:bCs/>
          <w:color w:val="auto"/>
          <w:spacing w:val="1"/>
          <w:sz w:val="30"/>
          <w:szCs w:val="22"/>
          <w:lang w:eastAsia="zh-CN"/>
        </w:rPr>
        <w:t>三、综合表现得分</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(1)荣誉表彰（思想政治优秀获奖计分标准）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获得国家级表彰计40分，获省级表彰计20分，得分不累计。</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校级等各类个人荣誉称号（如优秀研究生、优秀研究生干部、优秀共产党员、先进个人、优秀团干等）计2分，同项以最高级计，不同项可累加，院级计1分，校内表彰最高限6分。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团体荣誉按照主要负责人计分，同一事迹获奖得分不累加。</w:t>
      </w:r>
      <w:bookmarkStart w:id="9" w:name="br1_15"/>
      <w:bookmarkEnd w:id="9"/>
      <w:bookmarkStart w:id="10" w:name="br1_16"/>
      <w:bookmarkEnd w:id="10"/>
    </w:p>
    <w:p>
      <w:pPr>
        <w:keepNext w:val="0"/>
        <w:keepLines w:val="0"/>
        <w:pageBreakBefore w:val="0"/>
        <w:widowControl/>
        <w:kinsoku/>
        <w:wordWrap/>
        <w:overflowPunct/>
        <w:topLinePunct w:val="0"/>
        <w:autoSpaceDE/>
        <w:autoSpaceDN/>
        <w:bidi w:val="0"/>
        <w:adjustRightInd/>
        <w:snapToGrid/>
        <w:spacing w:line="300" w:lineRule="auto"/>
        <w:ind w:firstLine="600" w:firstLineChars="200"/>
        <w:jc w:val="both"/>
        <w:textAlignment w:val="auto"/>
        <w:rPr>
          <w:rFonts w:hint="eastAsia" w:ascii="仿宋" w:hAnsi="仿宋" w:eastAsia="仿宋" w:cs="仿宋"/>
          <w:color w:val="auto"/>
          <w:spacing w:val="1"/>
          <w:sz w:val="28"/>
          <w:szCs w:val="28"/>
          <w:lang w:eastAsia="zh-CN"/>
        </w:rPr>
      </w:pPr>
      <w:r>
        <w:rPr>
          <w:rFonts w:hint="eastAsia" w:ascii="仿宋_GB2312" w:eastAsia="仿宋_GB2312"/>
          <w:color w:val="auto"/>
          <w:sz w:val="30"/>
          <w:szCs w:val="30"/>
          <w:lang w:val="en-US" w:eastAsia="zh-CN"/>
        </w:rPr>
        <w:t>参加学校、学院或班级统一组织的思政教育活动出席率达100%，计5分。</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(2)社会工作职务</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在校期间担任学校、学院或班级学生干部（须任满一届，不重复计分）。</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760"/>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2" w:type="pct"/>
            <w:vAlign w:val="center"/>
          </w:tcPr>
          <w:p>
            <w:pPr>
              <w:spacing w:line="280" w:lineRule="atLeast"/>
              <w:jc w:val="center"/>
              <w:rPr>
                <w:rFonts w:hint="eastAsia" w:ascii="宋体" w:hAnsi="宋体" w:eastAsia="宋体" w:cs="宋体"/>
                <w:b/>
                <w:bCs/>
                <w:color w:val="auto"/>
                <w:spacing w:val="1735"/>
                <w:sz w:val="21"/>
                <w:szCs w:val="21"/>
                <w:lang w:eastAsia="zh-CN"/>
              </w:rPr>
            </w:pPr>
            <w:r>
              <w:rPr>
                <w:rFonts w:hint="eastAsia" w:ascii="宋体" w:hAnsi="宋体" w:eastAsia="宋体" w:cs="宋体"/>
                <w:b/>
                <w:bCs/>
                <w:color w:val="auto"/>
                <w:spacing w:val="2"/>
                <w:sz w:val="21"/>
                <w:szCs w:val="21"/>
                <w:lang w:eastAsia="zh-CN"/>
              </w:rPr>
              <w:t>职位类别</w:t>
            </w:r>
          </w:p>
        </w:tc>
        <w:tc>
          <w:tcPr>
            <w:tcW w:w="2208" w:type="pct"/>
            <w:vAlign w:val="center"/>
          </w:tcPr>
          <w:p>
            <w:pPr>
              <w:spacing w:line="280" w:lineRule="atLeast"/>
              <w:jc w:val="center"/>
              <w:rPr>
                <w:rFonts w:hint="eastAsia" w:ascii="宋体" w:hAnsi="宋体" w:eastAsia="宋体" w:cs="宋体"/>
                <w:b/>
                <w:bCs/>
                <w:color w:val="auto"/>
                <w:spacing w:val="2364"/>
                <w:sz w:val="21"/>
                <w:szCs w:val="21"/>
                <w:lang w:eastAsia="zh-CN"/>
              </w:rPr>
            </w:pPr>
            <w:r>
              <w:rPr>
                <w:rFonts w:hint="eastAsia" w:ascii="宋体" w:hAnsi="宋体" w:eastAsia="宋体" w:cs="宋体"/>
                <w:b/>
                <w:bCs/>
                <w:color w:val="auto"/>
                <w:spacing w:val="2"/>
                <w:sz w:val="21"/>
                <w:szCs w:val="21"/>
                <w:lang w:eastAsia="zh-CN"/>
              </w:rPr>
              <w:t>具体职位</w:t>
            </w:r>
          </w:p>
        </w:tc>
        <w:tc>
          <w:tcPr>
            <w:tcW w:w="1659" w:type="pct"/>
            <w:vAlign w:val="center"/>
          </w:tcPr>
          <w:p>
            <w:pPr>
              <w:spacing w:line="28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pacing w:val="1"/>
                <w:sz w:val="21"/>
                <w:szCs w:val="21"/>
                <w:lang w:eastAsia="zh-CN"/>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32" w:type="pct"/>
            <w:vMerge w:val="restart"/>
            <w:vAlign w:val="center"/>
          </w:tcPr>
          <w:p>
            <w:pPr>
              <w:spacing w:line="280" w:lineRule="atLeast"/>
              <w:jc w:val="center"/>
              <w:rPr>
                <w:rFonts w:hint="eastAsia" w:ascii="宋体" w:hAnsi="宋体" w:eastAsia="宋体" w:cs="宋体"/>
                <w:color w:val="auto"/>
                <w:spacing w:val="1688"/>
                <w:sz w:val="21"/>
                <w:szCs w:val="21"/>
                <w:lang w:eastAsia="zh-CN"/>
              </w:rPr>
            </w:pPr>
            <w:r>
              <w:rPr>
                <w:rFonts w:hint="eastAsia" w:ascii="宋体" w:hAnsi="宋体" w:eastAsia="宋体" w:cs="宋体"/>
                <w:color w:val="auto"/>
                <w:sz w:val="21"/>
                <w:szCs w:val="21"/>
                <w:lang w:eastAsia="zh-CN"/>
              </w:rPr>
              <w:t>校级</w:t>
            </w: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校研会主席、副主席</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6</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2" w:type="pct"/>
            <w:vMerge w:val="continue"/>
            <w:vAlign w:val="center"/>
          </w:tcPr>
          <w:p>
            <w:pPr>
              <w:spacing w:line="280" w:lineRule="atLeast"/>
              <w:jc w:val="center"/>
              <w:rPr>
                <w:rFonts w:hint="eastAsia" w:ascii="宋体" w:hAnsi="宋体" w:eastAsia="宋体" w:cs="宋体"/>
                <w:color w:val="auto"/>
                <w:spacing w:val="1904"/>
                <w:sz w:val="21"/>
                <w:szCs w:val="21"/>
                <w:lang w:eastAsia="zh-CN"/>
              </w:rPr>
            </w:pPr>
          </w:p>
        </w:tc>
        <w:tc>
          <w:tcPr>
            <w:tcW w:w="2208" w:type="pct"/>
            <w:vAlign w:val="center"/>
          </w:tcPr>
          <w:p>
            <w:pPr>
              <w:spacing w:line="280" w:lineRule="atLeast"/>
              <w:jc w:val="center"/>
              <w:rPr>
                <w:rFonts w:hint="eastAsia" w:ascii="宋体" w:hAnsi="宋体" w:eastAsia="宋体" w:cs="宋体"/>
                <w:color w:val="auto"/>
                <w:spacing w:val="1928"/>
                <w:sz w:val="21"/>
                <w:szCs w:val="21"/>
                <w:lang w:eastAsia="zh-CN"/>
              </w:rPr>
            </w:pPr>
            <w:r>
              <w:rPr>
                <w:rFonts w:hint="eastAsia" w:ascii="宋体" w:hAnsi="宋体" w:eastAsia="宋体" w:cs="宋体"/>
                <w:color w:val="auto"/>
                <w:sz w:val="21"/>
                <w:szCs w:val="21"/>
                <w:lang w:eastAsia="zh-CN"/>
              </w:rPr>
              <w:t>部长（副部长）</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val="en-US" w:eastAsia="zh-CN"/>
              </w:rPr>
              <w:t>2</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2" w:type="pct"/>
            <w:vMerge w:val="continue"/>
            <w:vAlign w:val="center"/>
          </w:tcPr>
          <w:p>
            <w:pPr>
              <w:spacing w:line="280" w:lineRule="atLeast"/>
              <w:jc w:val="center"/>
              <w:rPr>
                <w:rFonts w:hint="eastAsia" w:ascii="宋体" w:hAnsi="宋体" w:eastAsia="宋体" w:cs="宋体"/>
                <w:color w:val="auto"/>
                <w:spacing w:val="2168"/>
                <w:sz w:val="21"/>
                <w:szCs w:val="21"/>
                <w:lang w:eastAsia="zh-CN"/>
              </w:rPr>
            </w:pP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校研会干事</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1</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32" w:type="pct"/>
            <w:vMerge w:val="restart"/>
            <w:vAlign w:val="center"/>
          </w:tcPr>
          <w:p>
            <w:pPr>
              <w:spacing w:line="280" w:lineRule="atLeast"/>
              <w:jc w:val="center"/>
              <w:rPr>
                <w:rFonts w:hint="eastAsia" w:ascii="宋体" w:hAnsi="宋体" w:eastAsia="宋体" w:cs="宋体"/>
                <w:color w:val="auto"/>
                <w:spacing w:val="968"/>
                <w:sz w:val="21"/>
                <w:szCs w:val="21"/>
                <w:lang w:eastAsia="zh-CN"/>
              </w:rPr>
            </w:pPr>
            <w:r>
              <w:rPr>
                <w:rFonts w:hint="eastAsia" w:ascii="宋体" w:hAnsi="宋体" w:eastAsia="宋体" w:cs="宋体"/>
                <w:color w:val="auto"/>
                <w:sz w:val="21"/>
                <w:szCs w:val="21"/>
                <w:lang w:eastAsia="zh-CN"/>
              </w:rPr>
              <w:t>院级</w:t>
            </w: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院研会主席</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5</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32" w:type="pct"/>
            <w:vMerge w:val="continue"/>
            <w:vAlign w:val="center"/>
          </w:tcPr>
          <w:p>
            <w:pPr>
              <w:spacing w:line="280" w:lineRule="atLeast"/>
              <w:jc w:val="center"/>
              <w:rPr>
                <w:rFonts w:hint="eastAsia" w:ascii="宋体" w:hAnsi="宋体" w:eastAsia="宋体" w:cs="宋体"/>
                <w:color w:val="auto"/>
                <w:spacing w:val="2144"/>
                <w:sz w:val="21"/>
                <w:szCs w:val="21"/>
                <w:lang w:eastAsia="zh-CN"/>
              </w:rPr>
            </w:pPr>
          </w:p>
        </w:tc>
        <w:tc>
          <w:tcPr>
            <w:tcW w:w="2208" w:type="pct"/>
            <w:vAlign w:val="center"/>
          </w:tcPr>
          <w:p>
            <w:pPr>
              <w:spacing w:line="280" w:lineRule="atLeast"/>
              <w:jc w:val="center"/>
              <w:rPr>
                <w:rFonts w:hint="default" w:ascii="宋体" w:hAnsi="宋体" w:eastAsia="宋体" w:cs="宋体"/>
                <w:color w:val="auto"/>
                <w:spacing w:val="2168"/>
                <w:sz w:val="21"/>
                <w:szCs w:val="21"/>
                <w:lang w:val="en-US" w:eastAsia="zh-CN"/>
              </w:rPr>
            </w:pPr>
            <w:r>
              <w:rPr>
                <w:rFonts w:hint="eastAsia" w:ascii="宋体" w:hAnsi="宋体" w:eastAsia="宋体" w:cs="宋体"/>
                <w:color w:val="auto"/>
                <w:sz w:val="21"/>
                <w:szCs w:val="21"/>
                <w:lang w:eastAsia="zh-CN"/>
              </w:rPr>
              <w:t>院研会部长、</w:t>
            </w:r>
            <w:r>
              <w:rPr>
                <w:rFonts w:hint="eastAsia" w:ascii="宋体" w:hAnsi="宋体" w:eastAsia="宋体" w:cs="宋体"/>
                <w:color w:val="auto"/>
                <w:sz w:val="21"/>
                <w:szCs w:val="21"/>
                <w:lang w:val="en-US" w:eastAsia="zh-CN"/>
              </w:rPr>
              <w:t>生活服务中心负责人</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val="en-US" w:eastAsia="zh-CN"/>
              </w:rPr>
              <w:t>2</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2" w:type="pct"/>
            <w:vMerge w:val="continue"/>
            <w:vAlign w:val="center"/>
          </w:tcPr>
          <w:p>
            <w:pPr>
              <w:spacing w:line="280" w:lineRule="atLeast"/>
              <w:jc w:val="center"/>
              <w:rPr>
                <w:rFonts w:hint="eastAsia" w:ascii="宋体" w:hAnsi="宋体" w:eastAsia="宋体" w:cs="宋体"/>
                <w:color w:val="auto"/>
                <w:spacing w:val="2144"/>
                <w:sz w:val="21"/>
                <w:szCs w:val="21"/>
                <w:lang w:eastAsia="zh-CN"/>
              </w:rPr>
            </w:pPr>
          </w:p>
        </w:tc>
        <w:tc>
          <w:tcPr>
            <w:tcW w:w="2208" w:type="pct"/>
            <w:vAlign w:val="center"/>
          </w:tcPr>
          <w:p>
            <w:pPr>
              <w:spacing w:line="28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院研会</w:t>
            </w:r>
            <w:r>
              <w:rPr>
                <w:rFonts w:hint="eastAsia" w:ascii="宋体" w:hAnsi="宋体" w:eastAsia="宋体" w:cs="宋体"/>
                <w:color w:val="auto"/>
                <w:sz w:val="21"/>
                <w:szCs w:val="21"/>
                <w:highlight w:val="none"/>
                <w:lang w:val="en-US" w:eastAsia="zh-CN"/>
              </w:rPr>
              <w:t>干事、生活服务中心成员</w:t>
            </w:r>
          </w:p>
        </w:tc>
        <w:tc>
          <w:tcPr>
            <w:tcW w:w="1659" w:type="pct"/>
            <w:vAlign w:val="center"/>
          </w:tcPr>
          <w:p>
            <w:pPr>
              <w:spacing w:line="280" w:lineRule="atLeast"/>
              <w:jc w:val="center"/>
              <w:rPr>
                <w:rFonts w:hint="eastAsia" w:ascii="宋体" w:hAnsi="宋体" w:eastAsia="宋体" w:cs="宋体"/>
                <w:color w:val="auto"/>
                <w:spacing w:val="60"/>
                <w:sz w:val="21"/>
                <w:szCs w:val="21"/>
                <w:highlight w:val="none"/>
                <w:lang w:val="en-US" w:eastAsia="zh-CN"/>
              </w:rPr>
            </w:pPr>
            <w:r>
              <w:rPr>
                <w:rFonts w:hint="eastAsia" w:ascii="宋体" w:hAnsi="宋体" w:eastAsia="宋体" w:cs="宋体"/>
                <w:color w:val="auto"/>
                <w:spacing w:val="60"/>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32" w:type="pct"/>
            <w:vMerge w:val="continue"/>
            <w:vAlign w:val="center"/>
          </w:tcPr>
          <w:p>
            <w:pPr>
              <w:spacing w:line="280" w:lineRule="atLeast"/>
              <w:jc w:val="center"/>
              <w:rPr>
                <w:rFonts w:hint="eastAsia" w:ascii="宋体" w:hAnsi="宋体" w:eastAsia="宋体" w:cs="宋体"/>
                <w:color w:val="auto"/>
                <w:spacing w:val="968"/>
                <w:sz w:val="21"/>
                <w:szCs w:val="21"/>
                <w:lang w:eastAsia="zh-CN"/>
              </w:rPr>
            </w:pP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研究生党支部书记</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5</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32" w:type="pct"/>
            <w:vMerge w:val="continue"/>
            <w:vAlign w:val="center"/>
          </w:tcPr>
          <w:p>
            <w:pPr>
              <w:spacing w:line="280" w:lineRule="atLeast"/>
              <w:jc w:val="center"/>
              <w:rPr>
                <w:rFonts w:hint="eastAsia" w:ascii="宋体" w:hAnsi="宋体" w:eastAsia="宋体" w:cs="宋体"/>
                <w:color w:val="auto"/>
                <w:spacing w:val="968"/>
                <w:sz w:val="21"/>
                <w:szCs w:val="21"/>
                <w:lang w:eastAsia="zh-CN"/>
              </w:rPr>
            </w:pPr>
          </w:p>
        </w:tc>
        <w:tc>
          <w:tcPr>
            <w:tcW w:w="2208" w:type="pct"/>
            <w:vAlign w:val="center"/>
          </w:tcPr>
          <w:p>
            <w:pPr>
              <w:spacing w:line="280" w:lineRule="atLeast"/>
              <w:jc w:val="center"/>
              <w:rPr>
                <w:rFonts w:hint="default" w:ascii="宋体" w:hAnsi="宋体" w:eastAsia="宋体" w:cs="宋体"/>
                <w:color w:val="auto"/>
                <w:spacing w:val="2288"/>
                <w:sz w:val="21"/>
                <w:szCs w:val="21"/>
                <w:highlight w:val="none"/>
                <w:lang w:val="en-US" w:eastAsia="zh-CN" w:bidi="ar-SA"/>
              </w:rPr>
            </w:pPr>
            <w:r>
              <w:rPr>
                <w:rFonts w:hint="eastAsia" w:ascii="宋体" w:hAnsi="宋体" w:eastAsia="宋体" w:cs="宋体"/>
                <w:color w:val="auto"/>
                <w:sz w:val="21"/>
                <w:szCs w:val="21"/>
                <w:highlight w:val="none"/>
                <w:lang w:val="en-US" w:eastAsia="zh-CN"/>
              </w:rPr>
              <w:t>党</w:t>
            </w:r>
            <w:r>
              <w:rPr>
                <w:rFonts w:hint="eastAsia" w:ascii="宋体" w:hAnsi="宋体" w:eastAsia="宋体" w:cs="宋体"/>
                <w:color w:val="auto"/>
                <w:sz w:val="21"/>
                <w:szCs w:val="21"/>
                <w:highlight w:val="none"/>
                <w:lang w:eastAsia="zh-CN"/>
              </w:rPr>
              <w:t>支部委员、</w:t>
            </w:r>
            <w:r>
              <w:rPr>
                <w:rFonts w:hint="eastAsia" w:ascii="宋体" w:hAnsi="宋体" w:eastAsia="宋体" w:cs="宋体"/>
                <w:color w:val="auto"/>
                <w:sz w:val="21"/>
                <w:szCs w:val="21"/>
                <w:highlight w:val="none"/>
                <w:lang w:val="en-US" w:eastAsia="zh-CN"/>
              </w:rPr>
              <w:t>实验室安全员</w:t>
            </w:r>
          </w:p>
        </w:tc>
        <w:tc>
          <w:tcPr>
            <w:tcW w:w="1659" w:type="pct"/>
            <w:vAlign w:val="center"/>
          </w:tcPr>
          <w:p>
            <w:pPr>
              <w:spacing w:line="280" w:lineRule="atLeas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2" w:type="pct"/>
            <w:vMerge w:val="restart"/>
            <w:tcBorders>
              <w:top w:val="single" w:color="auto" w:sz="4" w:space="0"/>
              <w:left w:val="single" w:color="auto" w:sz="4" w:space="0"/>
              <w:right w:val="single" w:color="auto" w:sz="4" w:space="0"/>
            </w:tcBorders>
            <w:vAlign w:val="center"/>
          </w:tcPr>
          <w:p>
            <w:pPr>
              <w:spacing w:line="280" w:lineRule="atLeast"/>
              <w:jc w:val="center"/>
              <w:rPr>
                <w:rFonts w:hint="eastAsia" w:ascii="宋体" w:hAnsi="宋体" w:eastAsia="宋体" w:cs="宋体"/>
                <w:color w:val="auto"/>
                <w:spacing w:val="2048"/>
                <w:sz w:val="21"/>
                <w:szCs w:val="21"/>
                <w:lang w:eastAsia="zh-CN"/>
              </w:rPr>
            </w:pPr>
            <w:r>
              <w:rPr>
                <w:rFonts w:hint="eastAsia" w:ascii="宋体" w:hAnsi="宋体" w:eastAsia="宋体" w:cs="宋体"/>
                <w:color w:val="auto"/>
                <w:sz w:val="21"/>
                <w:szCs w:val="21"/>
                <w:lang w:eastAsia="zh-CN"/>
              </w:rPr>
              <w:t>班级</w:t>
            </w:r>
          </w:p>
        </w:tc>
        <w:tc>
          <w:tcPr>
            <w:tcW w:w="2208" w:type="pct"/>
            <w:tcBorders>
              <w:left w:val="single" w:color="auto" w:sz="4" w:space="0"/>
            </w:tcBorders>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班长、团支书</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val="en-US" w:eastAsia="zh-CN"/>
              </w:rPr>
              <w:t>4</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2" w:type="pct"/>
            <w:vMerge w:val="continue"/>
            <w:tcBorders>
              <w:left w:val="single" w:color="auto" w:sz="4" w:space="0"/>
              <w:right w:val="single" w:color="auto" w:sz="4" w:space="0"/>
            </w:tcBorders>
            <w:vAlign w:val="center"/>
          </w:tcPr>
          <w:p>
            <w:pPr>
              <w:spacing w:line="280" w:lineRule="atLeast"/>
              <w:jc w:val="center"/>
              <w:rPr>
                <w:rFonts w:hint="eastAsia" w:ascii="宋体" w:hAnsi="宋体" w:eastAsia="宋体" w:cs="宋体"/>
                <w:color w:val="auto"/>
                <w:sz w:val="21"/>
                <w:szCs w:val="21"/>
                <w:lang w:eastAsia="zh-CN"/>
              </w:rPr>
            </w:pPr>
          </w:p>
        </w:tc>
        <w:tc>
          <w:tcPr>
            <w:tcW w:w="2208" w:type="pct"/>
            <w:tcBorders>
              <w:left w:val="single" w:color="auto" w:sz="4" w:space="0"/>
            </w:tcBorders>
            <w:vAlign w:val="center"/>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班级其他班委成员、寝室长</w:t>
            </w:r>
          </w:p>
        </w:tc>
        <w:tc>
          <w:tcPr>
            <w:tcW w:w="1659" w:type="pct"/>
            <w:vAlign w:val="center"/>
          </w:tcPr>
          <w:p>
            <w:pPr>
              <w:spacing w:line="280" w:lineRule="atLeast"/>
              <w:jc w:val="center"/>
              <w:rPr>
                <w:rFonts w:hint="default" w:ascii="宋体" w:hAnsi="宋体" w:eastAsia="宋体" w:cs="宋体"/>
                <w:color w:val="auto"/>
                <w:spacing w:val="60"/>
                <w:sz w:val="21"/>
                <w:szCs w:val="21"/>
                <w:lang w:val="en-US" w:eastAsia="zh-CN"/>
              </w:rPr>
            </w:pPr>
            <w:r>
              <w:rPr>
                <w:rFonts w:hint="eastAsia" w:ascii="宋体" w:hAnsi="宋体" w:eastAsia="宋体" w:cs="宋体"/>
                <w:color w:val="auto"/>
                <w:spacing w:val="60"/>
                <w:sz w:val="21"/>
                <w:szCs w:val="21"/>
                <w:lang w:val="en-US" w:eastAsia="zh-CN"/>
              </w:rPr>
              <w:t>1分</w:t>
            </w:r>
          </w:p>
        </w:tc>
      </w:tr>
    </w:tbl>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highlight w:val="none"/>
          <w:lang w:eastAsia="zh-CN"/>
        </w:rPr>
      </w:pPr>
      <w:r>
        <w:rPr>
          <w:rFonts w:hint="eastAsia" w:ascii="仿宋" w:hAnsi="仿宋" w:eastAsia="仿宋" w:cs="仿宋"/>
          <w:strike w:val="0"/>
          <w:dstrike w:val="0"/>
          <w:color w:val="auto"/>
          <w:spacing w:val="1"/>
          <w:sz w:val="28"/>
          <w:szCs w:val="28"/>
          <w:highlight w:val="none"/>
          <w:u w:val="none"/>
          <w:lang w:val="en-US" w:eastAsia="zh-CN"/>
        </w:rPr>
        <w:t>兼任不同级别（校级、院级、班级）学生干部时，得分可累加，但最高不超过8分。</w:t>
      </w:r>
      <w:r>
        <w:rPr>
          <w:rFonts w:hint="eastAsia" w:ascii="仿宋" w:hAnsi="仿宋" w:eastAsia="仿宋" w:cs="仿宋"/>
          <w:color w:val="auto"/>
          <w:spacing w:val="1"/>
          <w:sz w:val="28"/>
          <w:szCs w:val="28"/>
          <w:lang w:eastAsia="zh-CN"/>
        </w:rPr>
        <w:t>学生干部未尽班委职责与义务</w:t>
      </w:r>
      <w:r>
        <w:rPr>
          <w:rFonts w:hint="eastAsia" w:ascii="仿宋" w:hAnsi="仿宋" w:eastAsia="仿宋" w:cs="仿宋"/>
          <w:b w:val="0"/>
          <w:bCs w:val="0"/>
          <w:color w:val="auto"/>
          <w:spacing w:val="1"/>
          <w:sz w:val="28"/>
          <w:szCs w:val="28"/>
          <w:lang w:eastAsia="zh-CN"/>
        </w:rPr>
        <w:t>，给予</w:t>
      </w:r>
      <w:r>
        <w:rPr>
          <w:rFonts w:hint="eastAsia" w:ascii="仿宋" w:hAnsi="仿宋" w:eastAsia="仿宋" w:cs="仿宋"/>
          <w:b w:val="0"/>
          <w:bCs w:val="0"/>
          <w:color w:val="auto"/>
          <w:spacing w:val="1"/>
          <w:sz w:val="28"/>
          <w:szCs w:val="28"/>
          <w:highlight w:val="none"/>
          <w:lang w:val="en-US" w:eastAsia="zh-CN"/>
        </w:rPr>
        <w:t>扣分或</w:t>
      </w:r>
      <w:r>
        <w:rPr>
          <w:rFonts w:hint="eastAsia" w:ascii="仿宋" w:hAnsi="仿宋" w:eastAsia="仿宋" w:cs="仿宋"/>
          <w:b w:val="0"/>
          <w:bCs w:val="0"/>
          <w:color w:val="auto"/>
          <w:spacing w:val="1"/>
          <w:sz w:val="28"/>
          <w:szCs w:val="28"/>
          <w:highlight w:val="none"/>
          <w:lang w:eastAsia="zh-CN"/>
        </w:rPr>
        <w:t>不加分处理。</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(3)参加社会实践活动及文体活动等</w:t>
      </w:r>
    </w:p>
    <w:p>
      <w:pPr>
        <w:keepNext w:val="0"/>
        <w:keepLines w:val="0"/>
        <w:widowControl/>
        <w:suppressLineNumbers w:val="0"/>
        <w:ind w:firstLine="564" w:firstLineChars="200"/>
        <w:jc w:val="left"/>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参加暑期社会实践</w:t>
      </w:r>
      <w:r>
        <w:rPr>
          <w:rFonts w:hint="eastAsia" w:ascii="仿宋" w:hAnsi="仿宋" w:eastAsia="仿宋" w:cs="仿宋"/>
          <w:color w:val="000000"/>
          <w:spacing w:val="1"/>
          <w:sz w:val="28"/>
          <w:szCs w:val="28"/>
          <w:lang w:val="en-US" w:eastAsia="zh-CN"/>
        </w:rPr>
        <w:t>获</w:t>
      </w:r>
      <w:r>
        <w:rPr>
          <w:rFonts w:hint="eastAsia" w:ascii="仿宋" w:hAnsi="仿宋" w:eastAsia="仿宋" w:cs="仿宋"/>
          <w:color w:val="000000"/>
          <w:spacing w:val="1"/>
          <w:sz w:val="28"/>
          <w:szCs w:val="28"/>
          <w:lang w:eastAsia="zh-CN"/>
        </w:rPr>
        <w:t>省级优秀6分、校级优秀3分、院级优秀1分。</w:t>
      </w:r>
    </w:p>
    <w:p>
      <w:pPr>
        <w:keepNext w:val="0"/>
        <w:keepLines w:val="0"/>
        <w:widowControl/>
        <w:suppressLineNumbers w:val="0"/>
        <w:ind w:firstLine="564" w:firstLineChars="200"/>
        <w:jc w:val="left"/>
        <w:rPr>
          <w:rFonts w:ascii="仿宋_GB2312" w:hAnsi="仿宋_GB2312" w:eastAsia="仿宋_GB2312" w:cs="仿宋_GB2312"/>
          <w:color w:val="000000"/>
          <w:kern w:val="0"/>
          <w:sz w:val="30"/>
          <w:szCs w:val="30"/>
          <w:lang w:val="en-US" w:eastAsia="zh-CN" w:bidi="ar"/>
        </w:rPr>
      </w:pPr>
      <w:r>
        <w:rPr>
          <w:rFonts w:hint="eastAsia" w:ascii="仿宋" w:hAnsi="仿宋" w:eastAsia="仿宋" w:cs="仿宋"/>
          <w:color w:val="000000"/>
          <w:spacing w:val="1"/>
          <w:sz w:val="28"/>
          <w:szCs w:val="28"/>
          <w:lang w:val="en-US" w:eastAsia="zh-CN"/>
        </w:rPr>
        <w:t>参加</w:t>
      </w:r>
      <w:r>
        <w:rPr>
          <w:rFonts w:hint="eastAsia" w:ascii="仿宋" w:hAnsi="仿宋" w:eastAsia="仿宋" w:cs="仿宋"/>
          <w:color w:val="000000"/>
          <w:spacing w:val="1"/>
          <w:sz w:val="28"/>
          <w:szCs w:val="28"/>
          <w:lang w:eastAsia="zh-CN"/>
        </w:rPr>
        <w:t>文体活动（轻体运动会、趣味比赛、元旦晚会等）根据获奖情况适当给予加分，</w:t>
      </w:r>
      <w:r>
        <w:rPr>
          <w:rFonts w:ascii="仿宋_GB2312" w:hAnsi="仿宋_GB2312" w:eastAsia="仿宋_GB2312" w:cs="仿宋_GB2312"/>
          <w:color w:val="000000"/>
          <w:kern w:val="0"/>
          <w:sz w:val="30"/>
          <w:szCs w:val="30"/>
          <w:lang w:val="en-US" w:eastAsia="zh-CN" w:bidi="ar"/>
        </w:rPr>
        <w:t>需提供获奖证书及相关证明文件。具体计分方法如下：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518"/>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tcPr>
          <w:p>
            <w:pPr>
              <w:spacing w:line="280" w:lineRule="atLeast"/>
              <w:jc w:val="center"/>
              <w:rPr>
                <w:rFonts w:hint="default" w:ascii="仿宋" w:hAnsi="仿宋" w:eastAsia="仿宋" w:cs="仿宋"/>
                <w:b/>
                <w:bCs/>
                <w:color w:val="000000"/>
                <w:spacing w:val="2"/>
                <w:sz w:val="24"/>
                <w:szCs w:val="24"/>
                <w:lang w:val="en-US" w:eastAsia="zh-CN"/>
              </w:rPr>
            </w:pPr>
            <w:r>
              <w:rPr>
                <w:rFonts w:hint="eastAsia" w:ascii="仿宋" w:hAnsi="仿宋" w:eastAsia="仿宋" w:cs="仿宋"/>
                <w:b/>
                <w:bCs/>
                <w:color w:val="000000"/>
                <w:spacing w:val="2"/>
                <w:sz w:val="24"/>
                <w:szCs w:val="24"/>
                <w:lang w:val="en-US" w:eastAsia="zh-CN"/>
              </w:rPr>
              <w:t>竞赛级别</w:t>
            </w:r>
          </w:p>
        </w:tc>
        <w:tc>
          <w:tcPr>
            <w:tcW w:w="3518" w:type="dxa"/>
          </w:tcPr>
          <w:p>
            <w:pPr>
              <w:spacing w:line="280" w:lineRule="atLeast"/>
              <w:jc w:val="center"/>
              <w:rPr>
                <w:rFonts w:hint="default" w:ascii="仿宋" w:hAnsi="仿宋" w:eastAsia="仿宋" w:cs="仿宋"/>
                <w:b/>
                <w:bCs/>
                <w:color w:val="000000"/>
                <w:spacing w:val="2"/>
                <w:sz w:val="24"/>
                <w:szCs w:val="24"/>
                <w:lang w:val="en-US" w:eastAsia="zh-CN"/>
              </w:rPr>
            </w:pPr>
            <w:r>
              <w:rPr>
                <w:rFonts w:hint="eastAsia" w:ascii="仿宋" w:hAnsi="仿宋" w:eastAsia="仿宋" w:cs="仿宋"/>
                <w:b/>
                <w:bCs/>
                <w:color w:val="000000"/>
                <w:spacing w:val="2"/>
                <w:sz w:val="24"/>
                <w:szCs w:val="24"/>
                <w:lang w:val="en-US" w:eastAsia="zh-CN"/>
              </w:rPr>
              <w:t>获奖等级</w:t>
            </w:r>
          </w:p>
        </w:tc>
        <w:tc>
          <w:tcPr>
            <w:tcW w:w="3008" w:type="dxa"/>
          </w:tcPr>
          <w:p>
            <w:pPr>
              <w:spacing w:line="280" w:lineRule="atLeast"/>
              <w:jc w:val="center"/>
              <w:rPr>
                <w:rFonts w:hint="default" w:ascii="仿宋" w:hAnsi="仿宋" w:eastAsia="仿宋" w:cs="仿宋"/>
                <w:b/>
                <w:bCs/>
                <w:color w:val="000000"/>
                <w:spacing w:val="2"/>
                <w:sz w:val="24"/>
                <w:szCs w:val="24"/>
                <w:lang w:val="en-US" w:eastAsia="zh-CN"/>
              </w:rPr>
            </w:pPr>
            <w:r>
              <w:rPr>
                <w:rFonts w:hint="eastAsia" w:ascii="仿宋" w:hAnsi="仿宋" w:eastAsia="仿宋" w:cs="仿宋"/>
                <w:b/>
                <w:bCs/>
                <w:color w:val="000000"/>
                <w:spacing w:val="2"/>
                <w:sz w:val="24"/>
                <w:szCs w:val="24"/>
                <w:lang w:val="en-US" w:eastAsia="zh-CN"/>
              </w:rPr>
              <w:t>奖励分值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校级</w:t>
            </w: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spacing w:line="280" w:lineRule="atLeast"/>
              <w:jc w:val="center"/>
              <w:rPr>
                <w:rFonts w:hint="eastAsia" w:ascii="宋体" w:hAnsi="宋体" w:eastAsia="宋体" w:cs="宋体"/>
                <w:color w:val="auto"/>
                <w:sz w:val="21"/>
                <w:szCs w:val="21"/>
                <w:lang w:val="en-US" w:eastAsia="zh-CN"/>
              </w:rPr>
            </w:pP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spacing w:line="280" w:lineRule="atLeast"/>
              <w:jc w:val="center"/>
              <w:rPr>
                <w:rFonts w:hint="eastAsia" w:ascii="宋体" w:hAnsi="宋体" w:eastAsia="宋体" w:cs="宋体"/>
                <w:color w:val="auto"/>
                <w:sz w:val="21"/>
                <w:szCs w:val="21"/>
                <w:lang w:val="en-US" w:eastAsia="zh-CN"/>
              </w:rPr>
            </w:pP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spacing w:line="280" w:lineRule="atLeast"/>
              <w:jc w:val="center"/>
              <w:rPr>
                <w:rFonts w:hint="eastAsia" w:ascii="宋体" w:hAnsi="宋体" w:eastAsia="宋体" w:cs="宋体"/>
                <w:color w:val="auto"/>
                <w:sz w:val="21"/>
                <w:szCs w:val="21"/>
                <w:lang w:val="en-US" w:eastAsia="zh-CN"/>
              </w:rPr>
            </w:pP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优秀奖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院级</w:t>
            </w: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tcPr>
          <w:p>
            <w:pPr>
              <w:spacing w:line="280" w:lineRule="atLeast"/>
              <w:jc w:val="center"/>
              <w:rPr>
                <w:rFonts w:hint="eastAsia" w:ascii="宋体" w:hAnsi="宋体" w:eastAsia="宋体" w:cs="宋体"/>
                <w:color w:val="auto"/>
                <w:sz w:val="21"/>
                <w:szCs w:val="21"/>
                <w:lang w:val="en-US" w:eastAsia="zh-CN"/>
              </w:rPr>
            </w:pP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tcPr>
          <w:p>
            <w:pPr>
              <w:spacing w:line="280" w:lineRule="atLeast"/>
              <w:jc w:val="center"/>
              <w:rPr>
                <w:rFonts w:hint="eastAsia" w:ascii="宋体" w:hAnsi="宋体" w:eastAsia="宋体" w:cs="宋体"/>
                <w:color w:val="auto"/>
                <w:sz w:val="21"/>
                <w:szCs w:val="21"/>
                <w:lang w:val="en-US" w:eastAsia="zh-CN"/>
              </w:rPr>
            </w:pP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tcPr>
          <w:p>
            <w:pPr>
              <w:spacing w:line="280" w:lineRule="atLeast"/>
              <w:jc w:val="center"/>
              <w:rPr>
                <w:rFonts w:hint="eastAsia" w:ascii="宋体" w:hAnsi="宋体" w:eastAsia="宋体" w:cs="宋体"/>
                <w:color w:val="auto"/>
                <w:sz w:val="21"/>
                <w:szCs w:val="21"/>
                <w:lang w:val="en-US" w:eastAsia="zh-CN"/>
              </w:rPr>
            </w:pP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优秀奖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bl>
    <w:p>
      <w:pPr>
        <w:keepNext w:val="0"/>
        <w:keepLines w:val="0"/>
        <w:widowControl/>
        <w:suppressLineNumbers w:val="0"/>
        <w:jc w:val="left"/>
        <w:rPr>
          <w:rFonts w:ascii="仿宋_GB2312" w:hAnsi="仿宋_GB2312" w:eastAsia="仿宋_GB2312" w:cs="仿宋_GB2312"/>
          <w:color w:val="000000"/>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val="en-US" w:eastAsia="zh-CN"/>
        </w:rPr>
        <w:t>团体项目获奖由团队成员按人数平分奖励分值。不同项目可以累加，同一项目按单项最高计分</w:t>
      </w:r>
      <w:r>
        <w:rPr>
          <w:rFonts w:hint="eastAsia" w:ascii="仿宋" w:hAnsi="仿宋" w:eastAsia="仿宋" w:cs="仿宋"/>
          <w:color w:val="000000"/>
          <w:spacing w:val="1"/>
          <w:sz w:val="28"/>
          <w:szCs w:val="28"/>
          <w:lang w:eastAsia="zh-CN"/>
        </w:rPr>
        <w:t>，但最高不超过</w:t>
      </w:r>
      <w:r>
        <w:rPr>
          <w:rFonts w:hint="eastAsia" w:ascii="仿宋" w:hAnsi="仿宋" w:eastAsia="仿宋" w:cs="仿宋"/>
          <w:color w:val="000000"/>
          <w:spacing w:val="1"/>
          <w:sz w:val="28"/>
          <w:szCs w:val="28"/>
          <w:lang w:val="en-US" w:eastAsia="zh-CN"/>
        </w:rPr>
        <w:t>6</w:t>
      </w:r>
      <w:r>
        <w:rPr>
          <w:rFonts w:hint="eastAsia" w:ascii="仿宋" w:hAnsi="仿宋" w:eastAsia="仿宋" w:cs="仿宋"/>
          <w:color w:val="000000"/>
          <w:spacing w:val="1"/>
          <w:sz w:val="28"/>
          <w:szCs w:val="28"/>
          <w:lang w:eastAsia="zh-CN"/>
        </w:rPr>
        <w:t>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val="en-US" w:eastAsia="zh-CN"/>
        </w:rPr>
        <w:t xml:space="preserve">凡是积极参与校院两级的文体艺术活动未获奖的同学，均可以获得 </w:t>
      </w:r>
      <w:r>
        <w:rPr>
          <w:rFonts w:hint="default" w:ascii="仿宋" w:hAnsi="仿宋" w:eastAsia="仿宋" w:cs="仿宋"/>
          <w:color w:val="000000"/>
          <w:spacing w:val="1"/>
          <w:sz w:val="28"/>
          <w:szCs w:val="28"/>
          <w:lang w:val="en-US" w:eastAsia="zh-CN"/>
        </w:rPr>
        <w:t xml:space="preserve">0.5 </w:t>
      </w:r>
      <w:r>
        <w:rPr>
          <w:rFonts w:hint="eastAsia" w:ascii="仿宋" w:hAnsi="仿宋" w:eastAsia="仿宋" w:cs="仿宋"/>
          <w:color w:val="000000"/>
          <w:spacing w:val="1"/>
          <w:sz w:val="28"/>
          <w:szCs w:val="28"/>
          <w:lang w:val="en-US" w:eastAsia="zh-CN"/>
        </w:rPr>
        <w:t>分</w:t>
      </w:r>
      <w:r>
        <w:rPr>
          <w:rFonts w:hint="default" w:ascii="仿宋" w:hAnsi="仿宋" w:eastAsia="仿宋" w:cs="仿宋"/>
          <w:color w:val="000000"/>
          <w:spacing w:val="1"/>
          <w:sz w:val="28"/>
          <w:szCs w:val="28"/>
          <w:lang w:val="en-US" w:eastAsia="zh-CN"/>
        </w:rPr>
        <w:t>/</w:t>
      </w:r>
      <w:r>
        <w:rPr>
          <w:rFonts w:hint="eastAsia" w:ascii="仿宋" w:hAnsi="仿宋" w:eastAsia="仿宋" w:cs="仿宋"/>
          <w:color w:val="000000"/>
          <w:spacing w:val="1"/>
          <w:sz w:val="28"/>
          <w:szCs w:val="28"/>
          <w:lang w:val="en-US" w:eastAsia="zh-CN"/>
        </w:rPr>
        <w:t xml:space="preserve">人·次的加分奖励；如参与元旦晚会等未设奖项的集体活动，若无特殊证明的加分说明，参演人员及组织人员均可获得 </w:t>
      </w:r>
      <w:r>
        <w:rPr>
          <w:rFonts w:hint="default" w:ascii="仿宋" w:hAnsi="仿宋" w:eastAsia="仿宋" w:cs="仿宋"/>
          <w:color w:val="000000"/>
          <w:spacing w:val="1"/>
          <w:sz w:val="28"/>
          <w:szCs w:val="28"/>
          <w:lang w:val="en-US" w:eastAsia="zh-CN"/>
        </w:rPr>
        <w:t xml:space="preserve">0.5 </w:t>
      </w:r>
      <w:r>
        <w:rPr>
          <w:rFonts w:hint="eastAsia" w:ascii="仿宋" w:hAnsi="仿宋" w:eastAsia="仿宋" w:cs="仿宋"/>
          <w:color w:val="000000"/>
          <w:spacing w:val="1"/>
          <w:sz w:val="28"/>
          <w:szCs w:val="28"/>
          <w:lang w:val="en-US" w:eastAsia="zh-CN"/>
        </w:rPr>
        <w:t>分</w:t>
      </w:r>
      <w:r>
        <w:rPr>
          <w:rFonts w:hint="default" w:ascii="仿宋" w:hAnsi="仿宋" w:eastAsia="仿宋" w:cs="仿宋"/>
          <w:color w:val="000000"/>
          <w:spacing w:val="1"/>
          <w:sz w:val="28"/>
          <w:szCs w:val="28"/>
          <w:lang w:val="en-US" w:eastAsia="zh-CN"/>
        </w:rPr>
        <w:t>/</w:t>
      </w:r>
      <w:r>
        <w:rPr>
          <w:rFonts w:hint="eastAsia" w:ascii="仿宋" w:hAnsi="仿宋" w:eastAsia="仿宋" w:cs="仿宋"/>
          <w:color w:val="000000"/>
          <w:spacing w:val="1"/>
          <w:sz w:val="28"/>
          <w:szCs w:val="28"/>
          <w:lang w:val="en-US" w:eastAsia="zh-CN"/>
        </w:rPr>
        <w:t xml:space="preserve">人·次的加分奖励。该部分加分的上限为 </w:t>
      </w:r>
      <w:r>
        <w:rPr>
          <w:rFonts w:hint="default" w:ascii="仿宋" w:hAnsi="仿宋" w:eastAsia="仿宋" w:cs="仿宋"/>
          <w:color w:val="000000"/>
          <w:spacing w:val="1"/>
          <w:sz w:val="28"/>
          <w:szCs w:val="28"/>
          <w:lang w:val="en-US" w:eastAsia="zh-CN"/>
        </w:rPr>
        <w:t xml:space="preserve">3 </w:t>
      </w:r>
      <w:r>
        <w:rPr>
          <w:rFonts w:hint="eastAsia" w:ascii="仿宋" w:hAnsi="仿宋" w:eastAsia="仿宋" w:cs="仿宋"/>
          <w:color w:val="000000"/>
          <w:spacing w:val="1"/>
          <w:sz w:val="28"/>
          <w:szCs w:val="28"/>
          <w:lang w:val="en-US" w:eastAsia="zh-CN"/>
        </w:rPr>
        <w:t>分。</w:t>
      </w:r>
      <w:r>
        <w:rPr>
          <w:rFonts w:hint="eastAsia" w:ascii="仿宋" w:hAnsi="仿宋" w:eastAsia="仿宋" w:cs="仿宋"/>
          <w:color w:val="000000"/>
          <w:spacing w:val="1"/>
          <w:sz w:val="28"/>
          <w:szCs w:val="28"/>
          <w:lang w:eastAsia="zh-CN"/>
        </w:rPr>
        <w:t>无故缺席校院规定必须参加的活动超过1次者，此项不加分。</w:t>
      </w:r>
    </w:p>
    <w:p>
      <w:pPr>
        <w:keepNext w:val="0"/>
        <w:keepLines w:val="0"/>
        <w:pageBreakBefore w:val="0"/>
        <w:widowControl/>
        <w:kinsoku/>
        <w:wordWrap/>
        <w:overflowPunct/>
        <w:topLinePunct w:val="0"/>
        <w:autoSpaceDE/>
        <w:autoSpaceDN/>
        <w:bidi w:val="0"/>
        <w:adjustRightInd/>
        <w:snapToGrid/>
        <w:spacing w:line="300" w:lineRule="auto"/>
        <w:ind w:firstLine="566" w:firstLineChars="200"/>
        <w:jc w:val="both"/>
        <w:textAlignment w:val="auto"/>
        <w:rPr>
          <w:rFonts w:hint="eastAsia" w:ascii="仿宋" w:hAnsi="仿宋" w:eastAsia="仿宋" w:cs="仿宋"/>
          <w:b/>
          <w:bCs/>
          <w:color w:val="000000"/>
          <w:spacing w:val="1"/>
          <w:sz w:val="28"/>
          <w:szCs w:val="28"/>
          <w:lang w:eastAsia="zh-CN"/>
        </w:rPr>
      </w:pPr>
      <w:r>
        <w:rPr>
          <w:rFonts w:hint="eastAsia" w:ascii="仿宋" w:hAnsi="仿宋" w:eastAsia="仿宋" w:cs="仿宋"/>
          <w:b/>
          <w:bCs/>
          <w:color w:val="000000"/>
          <w:spacing w:val="1"/>
          <w:sz w:val="28"/>
          <w:szCs w:val="28"/>
          <w:lang w:eastAsia="zh-CN"/>
        </w:rPr>
        <w:t>近1年内受到警告及以上纪律处分，综合表现不得分。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ascii="Calibri" w:hAnsi="Calibri"/>
          <w:color w:val="auto"/>
          <w:sz w:val="18"/>
          <w:szCs w:val="22"/>
        </w:rPr>
        <w:sectPr>
          <w:pgSz w:w="11900" w:h="16820"/>
          <w:pgMar w:top="1440" w:right="1800" w:bottom="1440" w:left="1800" w:header="720" w:footer="720" w:gutter="0"/>
          <w:pgNumType w:start="1"/>
          <w:cols w:space="720" w:num="1"/>
          <w:docGrid w:linePitch="326" w:charSpace="0"/>
        </w:sectPr>
      </w:pPr>
      <w:r>
        <w:rPr>
          <w:rFonts w:hint="eastAsia" w:ascii="仿宋" w:hAnsi="仿宋" w:eastAsia="仿宋" w:cs="仿宋"/>
          <w:color w:val="auto"/>
          <w:spacing w:val="1"/>
          <w:sz w:val="28"/>
          <w:szCs w:val="28"/>
          <w:lang w:eastAsia="zh-CN"/>
        </w:rPr>
        <w:t>本实施细则由学院研究生学业奖学金评审领导小组负责解释，自公布之日起施行，原《武汉科技大学</w:t>
      </w:r>
      <w:r>
        <w:rPr>
          <w:rFonts w:hint="eastAsia" w:ascii="仿宋" w:hAnsi="仿宋" w:eastAsia="仿宋" w:cs="仿宋"/>
          <w:color w:val="auto"/>
          <w:spacing w:val="1"/>
          <w:sz w:val="28"/>
          <w:szCs w:val="28"/>
          <w:lang w:val="en-US" w:eastAsia="zh-CN"/>
        </w:rPr>
        <w:t>生命科学与健康学院</w:t>
      </w:r>
      <w:r>
        <w:rPr>
          <w:rFonts w:hint="eastAsia" w:ascii="仿宋" w:hAnsi="仿宋" w:eastAsia="仿宋" w:cs="仿宋"/>
          <w:color w:val="auto"/>
          <w:spacing w:val="1"/>
          <w:sz w:val="28"/>
          <w:szCs w:val="28"/>
          <w:lang w:eastAsia="zh-CN"/>
        </w:rPr>
        <w:t>研究生学业奖学金评选计分标准》</w:t>
      </w:r>
      <w:bookmarkStart w:id="11" w:name="br1_17"/>
      <w:bookmarkEnd w:id="11"/>
      <w:r>
        <w:rPr>
          <w:rFonts w:hint="eastAsia" w:ascii="仿宋" w:hAnsi="仿宋" w:eastAsia="仿宋" w:cs="仿宋"/>
          <w:color w:val="auto"/>
          <w:spacing w:val="1"/>
          <w:sz w:val="28"/>
          <w:szCs w:val="28"/>
          <w:lang w:eastAsia="zh-CN"/>
        </w:rPr>
        <w:t>同时废止。</w:t>
      </w:r>
    </w:p>
    <w:p>
      <w:pPr>
        <w:bidi w:val="0"/>
        <w:jc w:val="left"/>
        <w:rPr>
          <w:rFonts w:ascii="Times New Roman" w:hAnsi="Times New Roman" w:cs="Times New Roman" w:eastAsiaTheme="minorEastAsia"/>
          <w:color w:val="auto"/>
          <w:sz w:val="24"/>
          <w:szCs w:val="24"/>
          <w:lang w:val="en-US" w:eastAsia="zh-CN" w:bidi="ar-SA"/>
        </w:rPr>
      </w:pPr>
      <w:bookmarkStart w:id="12" w:name="br1_8"/>
      <w:bookmarkEnd w:id="12"/>
    </w:p>
    <w:p/>
    <w:sectPr>
      <w:pgSz w:w="11900" w:h="16820"/>
      <w:pgMar w:top="1262" w:right="100" w:bottom="0" w:left="1474"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1"/>
    <w:family w:val="auto"/>
    <w:pitch w:val="default"/>
    <w:sig w:usb0="00000000" w:usb1="00000000" w:usb2="01010111" w:usb3="01010101" w:csb0="01050101" w:csb1="01010101"/>
  </w:font>
  <w:font w:name="Cambria Math">
    <w:panose1 w:val="02040503050406030204"/>
    <w:charset w:val="00"/>
    <w:family w:val="roman"/>
    <w:pitch w:val="default"/>
    <w:sig w:usb0="E00006FF" w:usb1="420024FF" w:usb2="02000000" w:usb3="00000000" w:csb0="2000019F" w:csb1="00000000"/>
  </w:font>
  <w:font w:name="FangSong_GB2312">
    <w:altName w:val="仿宋"/>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C30BE"/>
    <w:multiLevelType w:val="singleLevel"/>
    <w:tmpl w:val="850C30BE"/>
    <w:lvl w:ilvl="0" w:tentative="0">
      <w:start w:val="4"/>
      <w:numFmt w:val="chineseCounting"/>
      <w:suff w:val="space"/>
      <w:lvlText w:val="第%1条"/>
      <w:lvlJc w:val="left"/>
      <w:rPr>
        <w:rFonts w:hint="eastAsia"/>
        <w:b/>
        <w:bCs/>
      </w:rPr>
    </w:lvl>
  </w:abstractNum>
  <w:abstractNum w:abstractNumId="1">
    <w:nsid w:val="9EC787AF"/>
    <w:multiLevelType w:val="singleLevel"/>
    <w:tmpl w:val="9EC787A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OTg5NWRkMjIzYWYwOWRmNmVhZTkwYzhjNGNiOTgifQ=="/>
  </w:docVars>
  <w:rsids>
    <w:rsidRoot w:val="24F46127"/>
    <w:rsid w:val="24F46127"/>
    <w:rsid w:val="25C611E3"/>
    <w:rsid w:val="7EB9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5110</Words>
  <Characters>5317</Characters>
  <Lines>0</Lines>
  <Paragraphs>0</Paragraphs>
  <TotalTime>0</TotalTime>
  <ScaleCrop>false</ScaleCrop>
  <LinksUpToDate>false</LinksUpToDate>
  <CharactersWithSpaces>5344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2023-04-17T08:33:00Z</dcterms:created>
  <dc:creator>阿童木的木</dc:creator>
  <cp:lastModifiedBy>阿童木的木</cp:lastModifiedBy>
  <cp:lastPrinted>2023-04-17T09:16:00Z</cp:lastPrinted>
  <dcterms:modified xsi:type="dcterms:W3CDTF">2023-04-18T08:21:54Z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6BE70E0E8F3B4F218242C364F77E11E0_11</vt:lpwstr>
  </property>
</Properties>
</file>